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D1794" w:rsidRPr="00530AB3" w:rsidRDefault="003D1794" w:rsidP="0011597C">
      <w:pPr>
        <w:autoSpaceDE w:val="0"/>
        <w:autoSpaceDN w:val="0"/>
        <w:adjustRightInd w:val="0"/>
        <w:spacing w:before="120" w:line="276" w:lineRule="auto"/>
        <w:jc w:val="left"/>
        <w:rPr>
          <w:rFonts w:asciiTheme="minorHAnsi" w:hAnsiTheme="minorHAnsi" w:cstheme="minorHAnsi"/>
          <w:u w:val="single"/>
          <w:lang w:val="de-DE"/>
        </w:rPr>
      </w:pPr>
    </w:p>
    <w:p w:rsidR="00D64428" w:rsidRPr="00530AB3" w:rsidRDefault="00D64428" w:rsidP="0011597C">
      <w:pPr>
        <w:pStyle w:val="berschrift2"/>
        <w:spacing w:before="0" w:after="0" w:line="276" w:lineRule="auto"/>
        <w:rPr>
          <w:rFonts w:asciiTheme="minorHAnsi" w:eastAsia="Times New Roman" w:hAnsiTheme="minorHAnsi" w:cstheme="minorHAnsi"/>
          <w:lang w:val="de-DE" w:bidi="en-US"/>
        </w:rPr>
      </w:pPr>
      <w:r w:rsidRPr="00530AB3">
        <w:rPr>
          <w:rFonts w:asciiTheme="minorHAnsi" w:hAnsiTheme="minorHAnsi" w:cstheme="minorHAnsi"/>
          <w:sz w:val="22"/>
          <w:szCs w:val="22"/>
          <w:lang w:val="de-DE"/>
        </w:rPr>
        <w:t>Schaeffler auf der Motek 2016 (Halle 6, Stand 6110)</w:t>
      </w:r>
    </w:p>
    <w:p w:rsidR="00604E2E" w:rsidRPr="00530AB3" w:rsidRDefault="00604E2E" w:rsidP="0011597C">
      <w:pPr>
        <w:autoSpaceDE w:val="0"/>
        <w:autoSpaceDN w:val="0"/>
        <w:adjustRightInd w:val="0"/>
        <w:spacing w:before="120" w:line="276" w:lineRule="auto"/>
        <w:jc w:val="left"/>
        <w:rPr>
          <w:rFonts w:asciiTheme="minorHAnsi" w:eastAsia="Times New Roman" w:hAnsiTheme="minorHAnsi" w:cstheme="minorHAnsi"/>
          <w:b/>
          <w:sz w:val="26"/>
          <w:szCs w:val="26"/>
          <w:lang w:val="de-DE"/>
        </w:rPr>
      </w:pPr>
    </w:p>
    <w:p w:rsidR="00530AB3" w:rsidRPr="00530AB3" w:rsidRDefault="00530AB3" w:rsidP="00C91912">
      <w:pPr>
        <w:spacing w:line="276" w:lineRule="auto"/>
        <w:rPr>
          <w:rFonts w:asciiTheme="minorHAnsi" w:eastAsia="Times New Roman" w:hAnsiTheme="minorHAnsi" w:cstheme="minorHAnsi"/>
          <w:b/>
          <w:sz w:val="26"/>
          <w:szCs w:val="26"/>
          <w:lang w:val="de-DE" w:bidi="en-US"/>
        </w:rPr>
      </w:pPr>
      <w:r w:rsidRPr="00530AB3">
        <w:rPr>
          <w:rFonts w:asciiTheme="minorHAnsi" w:hAnsiTheme="minorHAnsi" w:cstheme="minorHAnsi"/>
          <w:b/>
          <w:sz w:val="26"/>
          <w:szCs w:val="26"/>
          <w:lang w:val="de-DE"/>
        </w:rPr>
        <w:t>Gewindetriebe in allen Kraft- und Geschwindigkeitsbereichen</w:t>
      </w:r>
    </w:p>
    <w:p w:rsidR="00D64428" w:rsidRPr="00530AB3" w:rsidRDefault="00D64428" w:rsidP="00C91912">
      <w:pPr>
        <w:spacing w:line="276" w:lineRule="auto"/>
        <w:rPr>
          <w:rFonts w:asciiTheme="minorHAnsi" w:eastAsia="Times New Roman" w:hAnsiTheme="minorHAnsi" w:cstheme="minorHAnsi"/>
          <w:b/>
          <w:sz w:val="22"/>
          <w:szCs w:val="22"/>
          <w:lang w:val="de-DE" w:bidi="en-US"/>
        </w:rPr>
      </w:pPr>
    </w:p>
    <w:p w:rsidR="00530AB3" w:rsidRDefault="00530AB3" w:rsidP="00C91912">
      <w:pPr>
        <w:widowControl w:val="0"/>
        <w:tabs>
          <w:tab w:val="left" w:pos="220"/>
          <w:tab w:val="left" w:pos="720"/>
        </w:tabs>
        <w:autoSpaceDE w:val="0"/>
        <w:autoSpaceDN w:val="0"/>
        <w:adjustRightInd w:val="0"/>
        <w:spacing w:line="276" w:lineRule="auto"/>
        <w:rPr>
          <w:rFonts w:asciiTheme="minorHAnsi" w:hAnsiTheme="minorHAnsi" w:cstheme="minorHAnsi"/>
          <w:b/>
          <w:sz w:val="22"/>
          <w:szCs w:val="22"/>
          <w:lang w:val="de-DE"/>
        </w:rPr>
      </w:pPr>
      <w:r w:rsidRPr="00530AB3">
        <w:rPr>
          <w:rFonts w:asciiTheme="minorHAnsi" w:hAnsiTheme="minorHAnsi" w:cstheme="minorHAnsi"/>
          <w:b/>
          <w:sz w:val="22"/>
          <w:szCs w:val="22"/>
          <w:lang w:val="de-DE"/>
        </w:rPr>
        <w:t>Schaeffler verfügt mit den drei Bauarten Kugelgewindetrieb KGT, Rollengewindetrieb RGT und der neuen Bauform Planetenwälzgewindetrieb PWG über ein lückenloses Portfolio und kann so gut wie jede Anwendung mit Spindeldurchmessern von 6 bis 80 mm bedienen. Auf die Performance der Gewindetriebe abgestimmt und in einer ebenso großen Vielfalt sind passende Axial-Lagerungen verfügbar.</w:t>
      </w:r>
    </w:p>
    <w:p w:rsidR="0011597C" w:rsidRPr="00530AB3" w:rsidRDefault="0011597C" w:rsidP="00C91912">
      <w:pPr>
        <w:widowControl w:val="0"/>
        <w:tabs>
          <w:tab w:val="left" w:pos="220"/>
          <w:tab w:val="left" w:pos="720"/>
        </w:tabs>
        <w:autoSpaceDE w:val="0"/>
        <w:autoSpaceDN w:val="0"/>
        <w:adjustRightInd w:val="0"/>
        <w:spacing w:line="276" w:lineRule="auto"/>
        <w:rPr>
          <w:rFonts w:asciiTheme="minorHAnsi" w:hAnsiTheme="minorHAnsi" w:cstheme="minorHAnsi"/>
          <w:b/>
          <w:sz w:val="22"/>
          <w:szCs w:val="22"/>
          <w:lang w:val="de-DE"/>
        </w:rPr>
      </w:pPr>
    </w:p>
    <w:p w:rsidR="00530AB3" w:rsidRDefault="00530AB3" w:rsidP="00C91912">
      <w:pPr>
        <w:autoSpaceDE w:val="0"/>
        <w:autoSpaceDN w:val="0"/>
        <w:adjustRightInd w:val="0"/>
        <w:spacing w:before="120" w:line="276" w:lineRule="auto"/>
        <w:rPr>
          <w:rFonts w:asciiTheme="minorHAnsi" w:hAnsiTheme="minorHAnsi" w:cstheme="minorHAnsi"/>
          <w:sz w:val="22"/>
          <w:szCs w:val="22"/>
          <w:lang w:val="de-DE" w:eastAsia="zh-CN"/>
        </w:rPr>
      </w:pPr>
      <w:r w:rsidRPr="00530AB3">
        <w:rPr>
          <w:rFonts w:asciiTheme="minorHAnsi" w:hAnsiTheme="minorHAnsi" w:cstheme="minorHAnsi"/>
          <w:sz w:val="22"/>
          <w:szCs w:val="22"/>
          <w:lang w:val="de-DE" w:eastAsia="zh-CN"/>
        </w:rPr>
        <w:t>HOMBURG/STUTTGART,</w:t>
      </w:r>
      <w:r w:rsidRPr="00530AB3">
        <w:rPr>
          <w:rFonts w:asciiTheme="minorHAnsi" w:hAnsiTheme="minorHAnsi" w:cstheme="minorHAnsi"/>
          <w:i/>
          <w:sz w:val="22"/>
          <w:szCs w:val="22"/>
          <w:lang w:val="de-DE" w:eastAsia="zh-CN"/>
        </w:rPr>
        <w:t xml:space="preserve"> 10. Oktober 2016.</w:t>
      </w:r>
      <w:r w:rsidRPr="00530AB3">
        <w:rPr>
          <w:rFonts w:asciiTheme="minorHAnsi" w:hAnsiTheme="minorHAnsi" w:cstheme="minorHAnsi"/>
          <w:sz w:val="22"/>
          <w:szCs w:val="22"/>
          <w:lang w:val="de-DE" w:eastAsia="zh-CN"/>
        </w:rPr>
        <w:t xml:space="preserve"> Gewindetriebe dominieren nicht nur in Vorschubachsen von Werkzeugmaschinen, sondern auch in Formatverstellungen, in Portalachsen oder Hubachsen. Auch der Ersatz von hydraulischen oder pneumatischen Zylindern durch einen mechanischen Aktor führt zu einer weiteren Verbreitung der Gewindetriebe. So kommen mechanische Linearaktuatoren z. B. auch in Schweißzangen oder kleinen Pressen in der Montagetechnik zur Anwendung. Dieses sehr breite Anwendungsspektrum ist nur mit einer großen Bauartvielfalt an Gewindetrieben, insbesondere hinsichtlich der übertragbaren Kräfte und damit der realisierbaren Steigungen, abzudecken. </w:t>
      </w:r>
    </w:p>
    <w:p w:rsidR="00C91912" w:rsidRPr="00530AB3" w:rsidRDefault="00C91912" w:rsidP="00C91912">
      <w:pPr>
        <w:autoSpaceDE w:val="0"/>
        <w:autoSpaceDN w:val="0"/>
        <w:adjustRightInd w:val="0"/>
        <w:spacing w:before="120" w:line="276" w:lineRule="auto"/>
        <w:rPr>
          <w:rFonts w:asciiTheme="minorHAnsi" w:hAnsiTheme="minorHAnsi" w:cstheme="minorHAnsi"/>
          <w:sz w:val="22"/>
          <w:szCs w:val="22"/>
          <w:lang w:val="de-DE" w:eastAsia="zh-CN"/>
        </w:rPr>
      </w:pPr>
    </w:p>
    <w:p w:rsidR="00C479F6" w:rsidRDefault="00530AB3" w:rsidP="00C91912">
      <w:pPr>
        <w:autoSpaceDE w:val="0"/>
        <w:autoSpaceDN w:val="0"/>
        <w:adjustRightInd w:val="0"/>
        <w:spacing w:before="120" w:line="276" w:lineRule="auto"/>
        <w:rPr>
          <w:rFonts w:asciiTheme="minorHAnsi" w:hAnsiTheme="minorHAnsi" w:cstheme="minorHAnsi"/>
          <w:b/>
          <w:sz w:val="22"/>
          <w:szCs w:val="22"/>
          <w:lang w:val="de-DE" w:eastAsia="zh-CN"/>
        </w:rPr>
      </w:pPr>
      <w:r w:rsidRPr="00530AB3">
        <w:rPr>
          <w:rFonts w:asciiTheme="minorHAnsi" w:hAnsiTheme="minorHAnsi" w:cstheme="minorHAnsi"/>
          <w:b/>
          <w:sz w:val="22"/>
          <w:szCs w:val="22"/>
          <w:lang w:val="de-DE" w:eastAsia="zh-CN"/>
        </w:rPr>
        <w:t>Drei Gewindetrieb-Bauarten – jede mit spezifischen Stärken</w:t>
      </w:r>
    </w:p>
    <w:p w:rsidR="00530AB3" w:rsidRPr="00C91912" w:rsidRDefault="00530AB3" w:rsidP="00C91912">
      <w:pPr>
        <w:autoSpaceDE w:val="0"/>
        <w:autoSpaceDN w:val="0"/>
        <w:adjustRightInd w:val="0"/>
        <w:spacing w:before="120" w:line="276" w:lineRule="auto"/>
        <w:rPr>
          <w:rFonts w:asciiTheme="minorHAnsi" w:hAnsiTheme="minorHAnsi" w:cstheme="minorHAnsi"/>
          <w:b/>
          <w:sz w:val="22"/>
          <w:szCs w:val="22"/>
          <w:lang w:val="de-DE" w:eastAsia="zh-CN"/>
        </w:rPr>
      </w:pPr>
      <w:r w:rsidRPr="00530AB3">
        <w:rPr>
          <w:rFonts w:asciiTheme="minorHAnsi" w:hAnsiTheme="minorHAnsi" w:cstheme="minorHAnsi"/>
          <w:sz w:val="22"/>
          <w:szCs w:val="22"/>
          <w:lang w:val="de-DE" w:eastAsia="zh-CN"/>
        </w:rPr>
        <w:t>Zu den herausragenden Stärken des Kugelgewindetriebes KGT zählen die hohe Dynamik aufgrund der großen Spindelsteigungen, der reibungsarme Lauf sowie die sehr hohe Positionier- und Wiederholgenauigkeit. Bei Kugelgewindetrieben muss die Steigung jedoch mindestens größer als der Kugeldurchmesser sein. Sehr kleine Steigungen sind deshalb nicht möglich. Der Rollengewindetrieb RGT hat diese Einschränkung hingegen nicht und wird bevorzugt bei kleinen Steigungen eingesetzt. Der Planetenwälzgewindetrieb PWG schließt die Lücke zwischen RGT und KGT bei Spindeldurchmessern von 5 bis zirka 30 mm im Bereich noch kleinerer Steigungen von 5 mm bis deutlich unter 1 mm.</w:t>
      </w:r>
    </w:p>
    <w:p w:rsidR="00530AB3" w:rsidRPr="00530AB3" w:rsidRDefault="00530AB3" w:rsidP="00C91912">
      <w:pPr>
        <w:autoSpaceDE w:val="0"/>
        <w:autoSpaceDN w:val="0"/>
        <w:adjustRightInd w:val="0"/>
        <w:spacing w:before="120" w:line="276" w:lineRule="auto"/>
        <w:rPr>
          <w:rFonts w:asciiTheme="minorHAnsi" w:hAnsiTheme="minorHAnsi" w:cstheme="minorHAnsi"/>
          <w:sz w:val="22"/>
          <w:szCs w:val="22"/>
          <w:lang w:val="de-DE" w:eastAsia="zh-CN"/>
        </w:rPr>
      </w:pPr>
      <w:r w:rsidRPr="00530AB3">
        <w:rPr>
          <w:rFonts w:asciiTheme="minorHAnsi" w:hAnsiTheme="minorHAnsi" w:cstheme="minorHAnsi"/>
          <w:sz w:val="22"/>
          <w:szCs w:val="22"/>
          <w:lang w:val="de-DE" w:eastAsia="zh-CN"/>
        </w:rPr>
        <w:t xml:space="preserve">Durch die sehr hohe Anzahl an Wälzkontakten erreicht der PWG im Vergleich zu den beiden anderen Bauarten die höchste Tragfähigkeit und Steifigkeit. Die gute interne Lastverteilung und die optimierte Schmiegung zwischen den sich berührenden Flanken sorgt für eine relativ niedrige Reibung. </w:t>
      </w:r>
    </w:p>
    <w:p w:rsidR="00530AB3" w:rsidRPr="00530AB3" w:rsidRDefault="00530AB3" w:rsidP="00C91912">
      <w:pPr>
        <w:autoSpaceDE w:val="0"/>
        <w:autoSpaceDN w:val="0"/>
        <w:adjustRightInd w:val="0"/>
        <w:spacing w:before="120" w:line="276" w:lineRule="auto"/>
        <w:rPr>
          <w:rFonts w:asciiTheme="minorHAnsi" w:hAnsiTheme="minorHAnsi" w:cstheme="minorHAnsi"/>
          <w:sz w:val="22"/>
          <w:szCs w:val="22"/>
          <w:lang w:val="de-DE" w:eastAsia="zh-CN"/>
        </w:rPr>
      </w:pPr>
    </w:p>
    <w:p w:rsidR="00530AB3" w:rsidRPr="00530AB3" w:rsidRDefault="00530AB3" w:rsidP="00C91912">
      <w:pPr>
        <w:autoSpaceDE w:val="0"/>
        <w:autoSpaceDN w:val="0"/>
        <w:adjustRightInd w:val="0"/>
        <w:spacing w:before="120" w:line="276" w:lineRule="auto"/>
        <w:rPr>
          <w:rFonts w:asciiTheme="minorHAnsi" w:hAnsiTheme="minorHAnsi" w:cstheme="minorHAnsi"/>
          <w:b/>
          <w:sz w:val="22"/>
          <w:szCs w:val="22"/>
          <w:lang w:val="de-DE" w:eastAsia="zh-CN"/>
        </w:rPr>
      </w:pPr>
      <w:r w:rsidRPr="00530AB3">
        <w:rPr>
          <w:rFonts w:asciiTheme="minorHAnsi" w:hAnsiTheme="minorHAnsi" w:cstheme="minorHAnsi"/>
          <w:b/>
          <w:sz w:val="22"/>
          <w:szCs w:val="22"/>
          <w:lang w:val="de-DE" w:eastAsia="zh-CN"/>
        </w:rPr>
        <w:t>Planetenwälzgewindetrieb: Kraftsteller mit hoher Leistungsdichte und Tragfähigkeit</w:t>
      </w:r>
    </w:p>
    <w:p w:rsidR="00530AB3" w:rsidRDefault="00530AB3" w:rsidP="00C91912">
      <w:pPr>
        <w:autoSpaceDE w:val="0"/>
        <w:autoSpaceDN w:val="0"/>
        <w:adjustRightInd w:val="0"/>
        <w:spacing w:before="120" w:line="276" w:lineRule="auto"/>
        <w:rPr>
          <w:rFonts w:asciiTheme="minorHAnsi" w:hAnsiTheme="minorHAnsi" w:cstheme="minorHAnsi"/>
          <w:sz w:val="22"/>
          <w:szCs w:val="22"/>
          <w:lang w:val="de-DE" w:eastAsia="zh-CN"/>
        </w:rPr>
      </w:pPr>
      <w:r w:rsidRPr="00530AB3">
        <w:rPr>
          <w:rFonts w:asciiTheme="minorHAnsi" w:hAnsiTheme="minorHAnsi" w:cstheme="minorHAnsi"/>
          <w:sz w:val="22"/>
          <w:szCs w:val="22"/>
          <w:lang w:val="de-DE" w:eastAsia="zh-CN"/>
        </w:rPr>
        <w:lastRenderedPageBreak/>
        <w:t xml:space="preserve">Der PWG erzeugt beispielsweise bei einer Steigung von 0,75 mm aus nur 40 Ncm beeindruckende 2200 N Axialkraft. Folglich sind auch mit kleinen Motoren sehr große Axialkräfte realisierbar. Durch seine große Übersetzung und den kleinen Bauraum kann der PWG hydraulische Antriebe ersetzen. Die Integration des elektrischen Antriebes ist denkbar einfach über eine Passfederverbindung am Außendurchmesser der Spindelmutter möglich. Grundsätzlich wird der PWG spielfrei vorgespannt und vorbefettet geliefert. Die Mutter des PWG ist an den Stirnseiten mit Spaltdichtungen versehen. </w:t>
      </w:r>
    </w:p>
    <w:p w:rsidR="00C91912" w:rsidRPr="00530AB3" w:rsidRDefault="00C91912" w:rsidP="00C91912">
      <w:pPr>
        <w:autoSpaceDE w:val="0"/>
        <w:autoSpaceDN w:val="0"/>
        <w:adjustRightInd w:val="0"/>
        <w:spacing w:before="120" w:line="276" w:lineRule="auto"/>
        <w:rPr>
          <w:rFonts w:asciiTheme="minorHAnsi" w:hAnsiTheme="minorHAnsi" w:cstheme="minorHAnsi"/>
          <w:sz w:val="22"/>
          <w:szCs w:val="22"/>
          <w:lang w:val="de-DE" w:eastAsia="zh-CN"/>
        </w:rPr>
      </w:pPr>
    </w:p>
    <w:p w:rsidR="00530AB3" w:rsidRPr="00530AB3" w:rsidRDefault="00530AB3" w:rsidP="00C91912">
      <w:pPr>
        <w:autoSpaceDE w:val="0"/>
        <w:autoSpaceDN w:val="0"/>
        <w:adjustRightInd w:val="0"/>
        <w:spacing w:before="120" w:line="276" w:lineRule="auto"/>
        <w:rPr>
          <w:rFonts w:asciiTheme="minorHAnsi" w:hAnsiTheme="minorHAnsi" w:cstheme="minorHAnsi"/>
          <w:b/>
          <w:sz w:val="22"/>
          <w:szCs w:val="22"/>
          <w:lang w:val="de-DE" w:eastAsia="zh-CN"/>
        </w:rPr>
      </w:pPr>
      <w:r w:rsidRPr="00530AB3">
        <w:rPr>
          <w:rFonts w:asciiTheme="minorHAnsi" w:hAnsiTheme="minorHAnsi" w:cstheme="minorHAnsi"/>
          <w:b/>
          <w:sz w:val="22"/>
          <w:szCs w:val="22"/>
          <w:lang w:val="de-DE" w:eastAsia="zh-CN"/>
        </w:rPr>
        <w:t>Axiallagerungen für Gewindetriebe</w:t>
      </w:r>
    </w:p>
    <w:p w:rsidR="00530AB3" w:rsidRPr="00530AB3" w:rsidRDefault="00530AB3" w:rsidP="00C91912">
      <w:pPr>
        <w:autoSpaceDE w:val="0"/>
        <w:autoSpaceDN w:val="0"/>
        <w:adjustRightInd w:val="0"/>
        <w:spacing w:before="120" w:line="276" w:lineRule="auto"/>
        <w:rPr>
          <w:rFonts w:asciiTheme="minorHAnsi" w:hAnsiTheme="minorHAnsi" w:cstheme="minorHAnsi"/>
          <w:sz w:val="22"/>
          <w:szCs w:val="22"/>
          <w:lang w:val="de-DE" w:eastAsia="zh-CN"/>
        </w:rPr>
      </w:pPr>
      <w:r w:rsidRPr="00530AB3">
        <w:rPr>
          <w:rFonts w:asciiTheme="minorHAnsi" w:hAnsiTheme="minorHAnsi" w:cstheme="minorHAnsi"/>
          <w:sz w:val="22"/>
          <w:szCs w:val="22"/>
          <w:lang w:val="de-DE" w:eastAsia="zh-CN"/>
        </w:rPr>
        <w:t xml:space="preserve">Die Lagerung der Gewindetriebe überträgt die Axialkräfte der Spindelmutter und leitet sie in das Gehäuse. Gewindetriebe und deren Lagerung sind also stets als System zu betrachten. Daher spiegelt sich die große Vielfalt der INA-Gewindetriebe auch bei den angebotenen Axial-Lagervarianten wieder. Zur Auswahl stehen ein- und mehrreihige Axial-Schrägkugellager ZKLN (Bohrungsmontage) und ZKLF (Flanschmontage) und zweiseitig wirkende Nadel-Axial-Zylinderrollenlager ZARN und ZARF. Als besonders wirtschaftliche Alternative gibt es die Ausführung ZKLR, deren zweireihige Schrägkugellager in einen Blechdeckel eingepresst sind. Der Blechdeckel verfügt über einen breiten Flansch, der mit der Maschine verschaubt wird. Speziell für Vertikalachsen ist die Ausführung ZKLFA mit drei Kugelreihen entwickelt worden. Axial-Schrägkugellager der Typen ZKLF und ZKLN sind auch in X-life-Ausführung lieferbar. Die bessere Laufbahnqualität sorgt für eine geringere Reibung und niedrigere Lagertemperaturen. Der Schmierstoff wird weniger stark beansprucht, die Fettgebrauchsdauer und gegebenenfalls notwendige Nachschmierintervalle verlängern sich. Bei Anwendungen mit höchster Genauigkeit und Steifigkeit kommen die Nadel-Axial-Zylinderrollenlager ZARN (Bohrungsmontage) ZARF (Flanschmontage) zum Einsatz. </w:t>
      </w:r>
    </w:p>
    <w:p w:rsidR="00530AB3" w:rsidRPr="00530AB3" w:rsidRDefault="00530AB3" w:rsidP="00C91912">
      <w:pPr>
        <w:autoSpaceDE w:val="0"/>
        <w:autoSpaceDN w:val="0"/>
        <w:adjustRightInd w:val="0"/>
        <w:spacing w:before="120" w:line="276" w:lineRule="auto"/>
        <w:rPr>
          <w:rFonts w:asciiTheme="minorHAnsi" w:hAnsiTheme="minorHAnsi" w:cstheme="minorHAnsi"/>
          <w:sz w:val="22"/>
          <w:szCs w:val="22"/>
          <w:lang w:val="de-DE" w:eastAsia="zh-CN"/>
        </w:rPr>
      </w:pPr>
    </w:p>
    <w:p w:rsidR="00C91912" w:rsidRDefault="00530AB3" w:rsidP="00C91912">
      <w:pPr>
        <w:autoSpaceDE w:val="0"/>
        <w:autoSpaceDN w:val="0"/>
        <w:adjustRightInd w:val="0"/>
        <w:spacing w:before="120" w:line="276" w:lineRule="auto"/>
        <w:rPr>
          <w:rFonts w:asciiTheme="minorHAnsi" w:hAnsiTheme="minorHAnsi" w:cstheme="minorHAnsi"/>
          <w:b/>
          <w:sz w:val="22"/>
          <w:szCs w:val="22"/>
          <w:lang w:val="de-DE" w:eastAsia="zh-CN"/>
        </w:rPr>
      </w:pPr>
      <w:r w:rsidRPr="00530AB3">
        <w:rPr>
          <w:rFonts w:asciiTheme="minorHAnsi" w:hAnsiTheme="minorHAnsi" w:cstheme="minorHAnsi"/>
          <w:b/>
          <w:sz w:val="22"/>
          <w:szCs w:val="22"/>
          <w:lang w:val="de-DE" w:eastAsia="zh-CN"/>
        </w:rPr>
        <w:t>Präzise Auslegung</w:t>
      </w:r>
      <w:r w:rsidR="00C91912">
        <w:rPr>
          <w:rFonts w:asciiTheme="minorHAnsi" w:hAnsiTheme="minorHAnsi" w:cstheme="minorHAnsi"/>
          <w:b/>
          <w:sz w:val="22"/>
          <w:szCs w:val="22"/>
          <w:lang w:val="de-DE" w:eastAsia="zh-CN"/>
        </w:rPr>
        <w:t>: BEARINX-online Easy BallScrew</w:t>
      </w:r>
    </w:p>
    <w:p w:rsidR="00530AB3" w:rsidRPr="00C91912" w:rsidRDefault="00530AB3" w:rsidP="00C91912">
      <w:pPr>
        <w:autoSpaceDE w:val="0"/>
        <w:autoSpaceDN w:val="0"/>
        <w:adjustRightInd w:val="0"/>
        <w:spacing w:before="120" w:line="276" w:lineRule="auto"/>
        <w:rPr>
          <w:rFonts w:asciiTheme="minorHAnsi" w:hAnsiTheme="minorHAnsi" w:cstheme="minorHAnsi"/>
          <w:b/>
          <w:sz w:val="22"/>
          <w:szCs w:val="22"/>
          <w:lang w:val="de-DE" w:eastAsia="zh-CN"/>
        </w:rPr>
      </w:pPr>
      <w:r w:rsidRPr="00530AB3">
        <w:rPr>
          <w:rFonts w:asciiTheme="minorHAnsi" w:hAnsiTheme="minorHAnsi" w:cstheme="minorHAnsi"/>
          <w:sz w:val="22"/>
          <w:szCs w:val="22"/>
          <w:lang w:val="de-DE" w:eastAsia="zh-CN"/>
        </w:rPr>
        <w:t xml:space="preserve">Optimal ausgewählte und ausgelegte Produkte verschaffen den Schaeffler-Kunden einen spürbaren Wettbewerbsvorsprung. Speziell für die Auslegung von Gewindetrieben stellt das Unternehmen die Version BEARINX-online Easy BallScrew zur Verfügung. Das bekannte Software-Tool berücksichtigt unter anderem das nichtlineare, elastische Federverhalten der Wälzkörper, die Elastizität der Lagerringe, belastungsbedingte Druckwinkelverlagerungen und die reale Kontaktpressung bei Schiefstellung sowie den Einfluss der Profilierung der Wälzkörper auf die Kontaktpressung. Auch konstruktive Einflüsse wie die Anbindung der Lagerung an die Welle, der Wellenwerkstoff, die Schmierung und der Grad der Verunreinigung werden berücksichtigt. Komfortables Feature: Das Programm stellt die vier gängigen Lageranordnungen für Gewindetriebe als vorkonfigurierte Berechnungsmodelle zur Verfügung: einseitige Festlagerung, Fest-Loslagerung, Fest-Festlagerung (Spindelreckung mit Nutmutter) und die Fest-Festlagerung (Spindelreckung mit Passscheibe). BEARINX-online Easy BallScrew berechnet die minimale statische Tragsicherheit und die modifizierte </w:t>
      </w:r>
      <w:r w:rsidRPr="00530AB3">
        <w:rPr>
          <w:rFonts w:asciiTheme="minorHAnsi" w:hAnsiTheme="minorHAnsi" w:cstheme="minorHAnsi"/>
          <w:sz w:val="22"/>
          <w:szCs w:val="22"/>
          <w:lang w:val="de-DE" w:eastAsia="zh-CN"/>
        </w:rPr>
        <w:lastRenderedPageBreak/>
        <w:t>Referenzlebensdauer für alle Lageranordnungen. Für die Fest-Festlagerungen werden zusätzlich die Spindelreckkraft und der Wert für die effektive Spindeldehnung durch Reckung sowie sämtliche Montageeinstellwerte ausgegeben. Ein Austausch der Berechnungsdatei mit dem Schaeffler-Ingenieurdienst ist jederzeit möglich.</w:t>
      </w:r>
    </w:p>
    <w:p w:rsidR="00C91912" w:rsidRPr="00530AB3" w:rsidRDefault="00C91912" w:rsidP="00C91912">
      <w:pPr>
        <w:autoSpaceDE w:val="0"/>
        <w:autoSpaceDN w:val="0"/>
        <w:adjustRightInd w:val="0"/>
        <w:spacing w:before="120" w:line="276" w:lineRule="auto"/>
        <w:rPr>
          <w:rFonts w:asciiTheme="minorHAnsi" w:hAnsiTheme="minorHAnsi" w:cstheme="minorHAnsi"/>
          <w:sz w:val="22"/>
          <w:szCs w:val="22"/>
          <w:lang w:val="de-DE" w:eastAsia="zh-CN"/>
        </w:rPr>
      </w:pPr>
    </w:p>
    <w:p w:rsidR="0053643A" w:rsidRPr="002E4EAF" w:rsidRDefault="00E85351" w:rsidP="0011597C">
      <w:pPr>
        <w:autoSpaceDE w:val="0"/>
        <w:autoSpaceDN w:val="0"/>
        <w:adjustRightInd w:val="0"/>
        <w:spacing w:before="120" w:line="276" w:lineRule="auto"/>
        <w:rPr>
          <w:rFonts w:ascii="Calibri" w:hAnsi="Calibri" w:cs="Calibri"/>
          <w:sz w:val="22"/>
          <w:szCs w:val="22"/>
          <w:lang w:val="de-DE"/>
        </w:rPr>
      </w:pPr>
      <w:r w:rsidRPr="002E4EAF">
        <w:rPr>
          <w:rFonts w:ascii="Calibri" w:hAnsi="Calibri" w:cs="Calibri"/>
          <w:sz w:val="22"/>
          <w:szCs w:val="22"/>
          <w:lang w:val="de-DE"/>
        </w:rPr>
        <w:t>Fotos: Schaeffler</w:t>
      </w:r>
    </w:p>
    <w:p w:rsidR="00530AB3" w:rsidRDefault="00530AB3" w:rsidP="0011597C">
      <w:pPr>
        <w:widowControl w:val="0"/>
        <w:tabs>
          <w:tab w:val="left" w:pos="220"/>
          <w:tab w:val="left" w:pos="720"/>
        </w:tabs>
        <w:autoSpaceDE w:val="0"/>
        <w:autoSpaceDN w:val="0"/>
        <w:adjustRightInd w:val="0"/>
        <w:spacing w:line="276" w:lineRule="auto"/>
        <w:rPr>
          <w:lang w:val="de-DE" w:eastAsia="zh-CN"/>
        </w:rPr>
      </w:pPr>
    </w:p>
    <w:p w:rsidR="00530AB3" w:rsidRDefault="00D33199" w:rsidP="0011597C">
      <w:pPr>
        <w:spacing w:line="276" w:lineRule="auto"/>
        <w:rPr>
          <w:noProof/>
          <w:sz w:val="22"/>
          <w:lang w:val="de-DE" w:eastAsia="de-DE"/>
        </w:rPr>
      </w:pPr>
      <w:r>
        <w:rPr>
          <w:noProof/>
          <w:sz w:val="22"/>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61.75pt;height:145.5pt">
            <v:imagedata r:id="rId8" o:title="PWG"/>
          </v:shape>
        </w:pict>
      </w:r>
    </w:p>
    <w:p w:rsidR="00D33199" w:rsidRDefault="00D33199" w:rsidP="0011597C">
      <w:pPr>
        <w:spacing w:line="276" w:lineRule="auto"/>
        <w:rPr>
          <w:sz w:val="22"/>
        </w:rPr>
      </w:pPr>
      <w:bookmarkStart w:id="0" w:name="_GoBack"/>
      <w:r>
        <w:rPr>
          <w:noProof/>
          <w:sz w:val="22"/>
          <w:lang w:val="de-DE" w:eastAsia="de-DE"/>
        </w:rPr>
        <w:pict>
          <v:shape id="_x0000_i1029" type="#_x0000_t75" style="width:260.25pt;height:143.25pt">
            <v:imagedata r:id="rId9" o:title="PWG-Explosion.12-01-2015"/>
          </v:shape>
        </w:pict>
      </w:r>
      <w:bookmarkEnd w:id="0"/>
    </w:p>
    <w:p w:rsidR="00530AB3" w:rsidRPr="00530AB3" w:rsidRDefault="00530AB3" w:rsidP="0011597C">
      <w:pPr>
        <w:spacing w:line="276" w:lineRule="auto"/>
        <w:rPr>
          <w:rFonts w:asciiTheme="minorHAnsi" w:hAnsiTheme="minorHAnsi" w:cstheme="minorHAnsi"/>
          <w:sz w:val="22"/>
          <w:szCs w:val="22"/>
          <w:lang w:val="de-DE"/>
        </w:rPr>
      </w:pPr>
      <w:r w:rsidRPr="00530AB3">
        <w:rPr>
          <w:rFonts w:asciiTheme="minorHAnsi" w:hAnsiTheme="minorHAnsi" w:cstheme="minorHAnsi"/>
          <w:sz w:val="22"/>
          <w:szCs w:val="22"/>
          <w:lang w:val="de-DE"/>
        </w:rPr>
        <w:t>Aufbau des Planetenwälzgewindetriebes PWG. Spindel und Planeten sind spanlos hergestellt. Im Durchmesserbereich von 5 bis 25 mm erreicht der PWG die höchste Leistungs-dichte unter den Schaeffler-Spindelgetrieben und kann sogar hydraulische Antriebe ersetzen.</w:t>
      </w:r>
    </w:p>
    <w:p w:rsidR="00530AB3" w:rsidRPr="00530AB3" w:rsidRDefault="00530AB3" w:rsidP="0011597C">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eastAsia="zh-CN"/>
        </w:rPr>
      </w:pPr>
    </w:p>
    <w:p w:rsidR="00530AB3" w:rsidRPr="00530AB3" w:rsidRDefault="00530AB3" w:rsidP="0011597C">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eastAsia="zh-CN"/>
        </w:rPr>
      </w:pPr>
    </w:p>
    <w:p w:rsidR="0053643A" w:rsidRPr="00426D40" w:rsidRDefault="00D33199" w:rsidP="00837A67">
      <w:pPr>
        <w:autoSpaceDE w:val="0"/>
        <w:autoSpaceDN w:val="0"/>
        <w:adjustRightInd w:val="0"/>
        <w:spacing w:before="120" w:line="240" w:lineRule="auto"/>
        <w:rPr>
          <w:rFonts w:ascii="Calibri" w:hAnsi="Calibri" w:cs="Calibri"/>
          <w:lang w:val="de-DE"/>
        </w:rPr>
      </w:pPr>
      <w:r>
        <w:rPr>
          <w:rFonts w:ascii="Calibri" w:hAnsi="Calibri" w:cs="Calibri"/>
          <w:noProof/>
          <w:lang w:val="de-DE" w:eastAsia="de-DE"/>
        </w:rPr>
        <w:pict>
          <v:shapetype id="_x0000_t32" coordsize="21600,21600" o:spt="32" o:oned="t" path="m,l21600,21600e" filled="f">
            <v:path arrowok="t" fillok="f" o:connecttype="none"/>
            <o:lock v:ext="edit" shapetype="t"/>
          </v:shapetype>
          <v:shape id="_x0000_s1029" type="#_x0000_t32" style="position:absolute;left:0;text-align:left;margin-left:.55pt;margin-top:17.3pt;width:396.55pt;height:0;z-index:251658240" o:connectortype="straight" strokecolor="#7f7f7f [1612]" strokeweight=".25pt"/>
        </w:pict>
      </w:r>
    </w:p>
    <w:p w:rsidR="0053643A" w:rsidRPr="00426D40" w:rsidRDefault="00E85351" w:rsidP="000639C1">
      <w:pPr>
        <w:autoSpaceDE w:val="0"/>
        <w:autoSpaceDN w:val="0"/>
        <w:adjustRightInd w:val="0"/>
        <w:spacing w:before="120" w:line="240" w:lineRule="auto"/>
        <w:jc w:val="left"/>
        <w:rPr>
          <w:rFonts w:ascii="Calibri" w:eastAsia="Times New Roman" w:hAnsi="Calibri"/>
          <w:b/>
          <w:sz w:val="16"/>
          <w:lang w:val="de-DE"/>
        </w:rPr>
      </w:pPr>
      <w:r>
        <w:rPr>
          <w:rFonts w:ascii="Calibri" w:eastAsia="Times New Roman" w:hAnsi="Calibri"/>
          <w:b/>
          <w:sz w:val="16"/>
          <w:lang w:val="de-DE"/>
        </w:rPr>
        <w:t>Zu</w:t>
      </w:r>
      <w:r w:rsidR="009D1C2C" w:rsidRPr="00426D40">
        <w:rPr>
          <w:rFonts w:ascii="Calibri" w:eastAsia="Times New Roman" w:hAnsi="Calibri"/>
          <w:b/>
          <w:sz w:val="16"/>
          <w:lang w:val="de-DE"/>
        </w:rPr>
        <w:t xml:space="preserve"> Schaeffler</w:t>
      </w:r>
    </w:p>
    <w:p w:rsidR="00F36C75" w:rsidRDefault="00E85351" w:rsidP="000639C1">
      <w:pPr>
        <w:pStyle w:val="StandardWeb"/>
        <w:spacing w:before="0" w:beforeAutospacing="0" w:after="0" w:afterAutospacing="0"/>
        <w:jc w:val="both"/>
        <w:rPr>
          <w:rFonts w:ascii="Arial" w:hAnsi="Arial" w:cs="Arial"/>
          <w:sz w:val="16"/>
          <w:szCs w:val="16"/>
          <w:lang w:val="de-DE"/>
        </w:rPr>
      </w:pPr>
      <w:r w:rsidRPr="00E85351">
        <w:rPr>
          <w:rFonts w:asciiTheme="minorHAnsi" w:hAnsiTheme="minorHAnsi" w:cstheme="minorHAnsi"/>
          <w:sz w:val="16"/>
          <w:szCs w:val="16"/>
          <w:lang w:val="de-DE"/>
        </w:rPr>
        <w:t>Die Schaeffler Gruppe ist ein weltweit führender integrierter Automobil- und Industriezulieferer. Das Unternehmen steht für höchste Qualität, herausragende Technologie und ausgeprägte Innovationskraft. Mit Präzisionskomponenten und Systemen in Motor, Getriebe und Fahrwerk sowie Wälz- und Gleitlagerlösungen für eine Vielzahl von Industrieanwendungen leistet die Schaeffler Gruppe einen entscheidenden Beitrag für die „Mobilität für morgen“. Im Jahr 2015 erwirtschaftete das Technologieunternehmen einen Umsatz von rund 13,2 Mrd. Euro. Mit rund 85.000 Mitarbeitern ist Schaeffler eines der weltweit größten Familienunternehmen und verfügt mit rund 170 Standorten in über 50 Ländern über ein weltweites Netz aus Produktionsstandorten, Forschungs- und Entwicklungseinrichtungen und</w:t>
      </w:r>
      <w:r w:rsidR="00E52B93">
        <w:rPr>
          <w:rFonts w:asciiTheme="minorHAnsi" w:hAnsiTheme="minorHAnsi" w:cstheme="minorHAnsi"/>
          <w:sz w:val="16"/>
          <w:szCs w:val="16"/>
          <w:lang w:val="de-DE"/>
        </w:rPr>
        <w:t xml:space="preserve"> </w:t>
      </w:r>
      <w:r w:rsidRPr="00E85351">
        <w:rPr>
          <w:rFonts w:asciiTheme="minorHAnsi" w:hAnsiTheme="minorHAnsi" w:cstheme="minorHAnsi"/>
          <w:sz w:val="16"/>
          <w:szCs w:val="16"/>
          <w:lang w:val="de-DE"/>
        </w:rPr>
        <w:t>Vertriebs</w:t>
      </w:r>
      <w:r w:rsidR="00E52B93">
        <w:rPr>
          <w:rFonts w:asciiTheme="minorHAnsi" w:hAnsiTheme="minorHAnsi" w:cstheme="minorHAnsi"/>
          <w:sz w:val="16"/>
          <w:szCs w:val="16"/>
          <w:lang w:val="de-DE"/>
        </w:rPr>
        <w:t>-</w:t>
      </w:r>
      <w:r w:rsidRPr="00E85351">
        <w:rPr>
          <w:rFonts w:asciiTheme="minorHAnsi" w:hAnsiTheme="minorHAnsi" w:cstheme="minorHAnsi"/>
          <w:sz w:val="16"/>
          <w:szCs w:val="16"/>
          <w:lang w:val="de-DE"/>
        </w:rPr>
        <w:t>gesellscha</w:t>
      </w:r>
      <w:r w:rsidRPr="00E52B93">
        <w:rPr>
          <w:rFonts w:asciiTheme="minorHAnsi" w:hAnsiTheme="minorHAnsi" w:cstheme="minorHAnsi"/>
          <w:sz w:val="16"/>
          <w:szCs w:val="16"/>
          <w:lang w:val="de-DE"/>
        </w:rPr>
        <w:t>ften</w:t>
      </w:r>
      <w:r w:rsidRPr="00E52B93">
        <w:rPr>
          <w:rFonts w:ascii="Arial" w:hAnsi="Arial" w:cs="Arial"/>
          <w:sz w:val="16"/>
          <w:szCs w:val="16"/>
          <w:lang w:val="de-DE"/>
        </w:rPr>
        <w:t>.</w:t>
      </w:r>
    </w:p>
    <w:p w:rsidR="00B8133C" w:rsidRPr="00B8133C" w:rsidRDefault="00B8133C" w:rsidP="000639C1">
      <w:pPr>
        <w:pStyle w:val="StandardWeb"/>
        <w:spacing w:before="0" w:beforeAutospacing="0" w:after="0" w:afterAutospacing="0"/>
        <w:jc w:val="both"/>
        <w:rPr>
          <w:rFonts w:asciiTheme="minorHAnsi" w:hAnsiTheme="minorHAnsi" w:cstheme="minorHAnsi"/>
          <w:sz w:val="16"/>
          <w:szCs w:val="16"/>
          <w:lang w:val="de-DE"/>
        </w:rPr>
      </w:pPr>
      <w:r w:rsidRPr="00B8133C">
        <w:rPr>
          <w:rFonts w:asciiTheme="minorHAnsi" w:hAnsiTheme="minorHAnsi" w:cstheme="minorHAnsi"/>
          <w:sz w:val="16"/>
          <w:szCs w:val="16"/>
          <w:lang w:val="de-DE"/>
        </w:rPr>
        <w:t>Die Sparte Industrie liefert über eine weltweit marktnahe Organisation und Anwendungsberatung Komponenten und Systeme für rund 60 verschiedene Industriebranchen. Das Portfolio reicht von millimetergroßen Miniaturlagern bis zu Großlagern mit einem Außendurchmesser von mehreren Metern.</w:t>
      </w:r>
    </w:p>
    <w:p w:rsidR="009C401A" w:rsidRPr="009C401A" w:rsidRDefault="00E52B93" w:rsidP="000639C1">
      <w:pPr>
        <w:pStyle w:val="StandardWeb"/>
        <w:spacing w:before="0" w:beforeAutospacing="0" w:after="0" w:afterAutospacing="0"/>
        <w:jc w:val="both"/>
        <w:rPr>
          <w:rFonts w:ascii="Calibri" w:hAnsi="Calibri" w:cs="Calibri"/>
          <w:b/>
          <w:sz w:val="16"/>
          <w:szCs w:val="18"/>
          <w:lang w:val="de-DE"/>
        </w:rPr>
      </w:pPr>
      <w:r>
        <w:rPr>
          <w:rFonts w:ascii="Arial" w:hAnsi="Arial" w:cs="Arial"/>
          <w:sz w:val="16"/>
          <w:szCs w:val="16"/>
          <w:lang w:val="de-DE"/>
        </w:rPr>
        <w:br/>
      </w:r>
      <w:r w:rsidR="009C401A" w:rsidRPr="009C401A">
        <w:rPr>
          <w:rFonts w:ascii="Calibri" w:hAnsi="Calibri" w:cs="Calibri"/>
          <w:b/>
          <w:sz w:val="16"/>
          <w:szCs w:val="18"/>
          <w:lang w:val="de-DE"/>
        </w:rPr>
        <w:t xml:space="preserve">Folgen Sie uns auf Twitter </w:t>
      </w:r>
      <w:hyperlink r:id="rId10" w:history="1">
        <w:r w:rsidR="009C401A" w:rsidRPr="009C401A">
          <w:rPr>
            <w:rFonts w:ascii="Calibri" w:hAnsi="Calibri" w:cs="Calibri"/>
            <w:b/>
            <w:sz w:val="16"/>
            <w:szCs w:val="18"/>
            <w:lang w:val="de-DE"/>
          </w:rPr>
          <w:t>@schaefflergroup</w:t>
        </w:r>
      </w:hyperlink>
      <w:r w:rsidR="009C401A" w:rsidRPr="009C401A">
        <w:rPr>
          <w:rFonts w:ascii="Calibri" w:hAnsi="Calibri" w:cs="Calibri"/>
          <w:b/>
          <w:sz w:val="16"/>
          <w:szCs w:val="18"/>
          <w:lang w:val="de-DE"/>
        </w:rPr>
        <w:t xml:space="preserve"> und verpassen Sie keine aktuellen Pressemitteilungen und News.</w:t>
      </w:r>
    </w:p>
    <w:p w:rsidR="00B8133C" w:rsidRDefault="00B8133C" w:rsidP="00E52B93">
      <w:pPr>
        <w:pStyle w:val="StandardWeb"/>
        <w:spacing w:before="0" w:beforeAutospacing="0" w:after="0" w:afterAutospacing="0"/>
        <w:jc w:val="both"/>
        <w:rPr>
          <w:rFonts w:ascii="Calibri" w:hAnsi="Calibri" w:cs="Calibri"/>
          <w:sz w:val="16"/>
          <w:lang w:val="de-DE"/>
        </w:rPr>
      </w:pPr>
    </w:p>
    <w:p w:rsidR="000639C1" w:rsidRDefault="000639C1" w:rsidP="009C401A">
      <w:pPr>
        <w:spacing w:line="240" w:lineRule="auto"/>
        <w:rPr>
          <w:rFonts w:ascii="Calibri" w:hAnsi="Calibri" w:cs="Calibri"/>
          <w:sz w:val="16"/>
          <w:szCs w:val="16"/>
          <w:u w:val="single"/>
          <w:lang w:val="de-DE"/>
        </w:rPr>
      </w:pPr>
    </w:p>
    <w:p w:rsidR="009C401A" w:rsidRPr="002E4EAF" w:rsidRDefault="00F36C75" w:rsidP="009C401A">
      <w:pPr>
        <w:spacing w:line="240" w:lineRule="auto"/>
        <w:rPr>
          <w:rFonts w:ascii="Calibri" w:hAnsi="Calibri" w:cs="Calibri"/>
          <w:sz w:val="16"/>
          <w:szCs w:val="16"/>
          <w:u w:val="single"/>
          <w:lang w:val="de-DE"/>
        </w:rPr>
      </w:pPr>
      <w:r>
        <w:rPr>
          <w:rFonts w:ascii="Calibri" w:hAnsi="Calibri" w:cs="Calibri"/>
          <w:sz w:val="16"/>
          <w:szCs w:val="16"/>
          <w:u w:val="single"/>
          <w:lang w:val="de-DE"/>
        </w:rPr>
        <w:lastRenderedPageBreak/>
        <w:t>Ansprechpartner</w:t>
      </w:r>
      <w:r w:rsidR="009C401A" w:rsidRPr="002E4EAF">
        <w:rPr>
          <w:rFonts w:ascii="Calibri" w:hAnsi="Calibri" w:cs="Calibri"/>
          <w:sz w:val="16"/>
          <w:szCs w:val="16"/>
          <w:u w:val="single"/>
          <w:lang w:val="de-DE"/>
        </w:rPr>
        <w:t>:</w:t>
      </w:r>
    </w:p>
    <w:p w:rsidR="009C401A" w:rsidRPr="002E4EAF" w:rsidRDefault="00D64428" w:rsidP="00137AF1">
      <w:pPr>
        <w:spacing w:line="240" w:lineRule="auto"/>
        <w:jc w:val="left"/>
        <w:rPr>
          <w:rFonts w:ascii="Calibri" w:hAnsi="Calibri" w:cs="Calibri"/>
          <w:sz w:val="16"/>
          <w:szCs w:val="16"/>
          <w:lang w:val="de-DE"/>
        </w:rPr>
      </w:pPr>
      <w:r>
        <w:rPr>
          <w:rFonts w:ascii="Calibri" w:hAnsi="Calibri" w:cs="Calibri"/>
          <w:b/>
          <w:sz w:val="16"/>
          <w:szCs w:val="16"/>
          <w:lang w:val="de-DE"/>
        </w:rPr>
        <w:t>Jürgen Klein,</w:t>
      </w:r>
      <w:r w:rsidR="009C401A" w:rsidRPr="002E4EAF">
        <w:rPr>
          <w:rFonts w:ascii="Calibri" w:hAnsi="Calibri" w:cs="Calibri"/>
          <w:sz w:val="16"/>
          <w:szCs w:val="16"/>
          <w:lang w:val="de-DE"/>
        </w:rPr>
        <w:t xml:space="preserve"> </w:t>
      </w:r>
      <w:r w:rsidR="00B8133C" w:rsidRPr="00B8133C">
        <w:rPr>
          <w:rFonts w:ascii="Calibri" w:hAnsi="Calibri" w:cs="Calibri"/>
          <w:sz w:val="16"/>
          <w:szCs w:val="16"/>
          <w:lang w:val="de-DE"/>
        </w:rPr>
        <w:t xml:space="preserve">Leiter </w:t>
      </w:r>
      <w:r>
        <w:rPr>
          <w:rFonts w:ascii="Calibri" w:hAnsi="Calibri" w:cs="Calibri"/>
          <w:sz w:val="16"/>
          <w:szCs w:val="16"/>
          <w:lang w:val="de-DE"/>
        </w:rPr>
        <w:t>Marketing Industrial Automation / Lineartechnik</w:t>
      </w:r>
      <w:r w:rsidR="009C401A" w:rsidRPr="002E4EAF">
        <w:rPr>
          <w:rFonts w:ascii="Calibri" w:hAnsi="Calibri" w:cs="Calibri"/>
          <w:sz w:val="16"/>
          <w:szCs w:val="16"/>
          <w:lang w:val="de-DE"/>
        </w:rPr>
        <w:t xml:space="preserve">, </w:t>
      </w:r>
      <w:r w:rsidR="00B8133C" w:rsidRPr="00B8133C">
        <w:rPr>
          <w:rFonts w:ascii="Calibri" w:hAnsi="Calibri" w:cs="Calibri"/>
          <w:sz w:val="16"/>
          <w:szCs w:val="16"/>
          <w:lang w:val="de-DE"/>
        </w:rPr>
        <w:t>Schaeffler Technologies AG &amp; Co. KG</w:t>
      </w:r>
      <w:r w:rsidR="009C401A" w:rsidRPr="002E4EAF">
        <w:rPr>
          <w:rFonts w:ascii="Calibri" w:hAnsi="Calibri" w:cs="Calibri"/>
          <w:sz w:val="16"/>
          <w:szCs w:val="16"/>
          <w:lang w:val="de-DE"/>
        </w:rPr>
        <w:t xml:space="preserve">, </w:t>
      </w:r>
      <w:r>
        <w:rPr>
          <w:rFonts w:ascii="Calibri" w:hAnsi="Calibri" w:cs="Calibri"/>
          <w:sz w:val="16"/>
          <w:szCs w:val="16"/>
          <w:lang w:val="de-DE"/>
        </w:rPr>
        <w:t>Homburg</w:t>
      </w:r>
      <w:r w:rsidR="009C401A" w:rsidRPr="002E4EAF">
        <w:rPr>
          <w:rFonts w:ascii="Calibri" w:hAnsi="Calibri" w:cs="Calibri"/>
          <w:sz w:val="16"/>
          <w:szCs w:val="16"/>
          <w:lang w:val="de-DE"/>
        </w:rPr>
        <w:t xml:space="preserve">, </w:t>
      </w:r>
    </w:p>
    <w:p w:rsidR="0053643A" w:rsidRDefault="009C401A" w:rsidP="00137AF1">
      <w:pPr>
        <w:autoSpaceDE w:val="0"/>
        <w:autoSpaceDN w:val="0"/>
        <w:adjustRightInd w:val="0"/>
        <w:spacing w:line="240" w:lineRule="auto"/>
        <w:ind w:right="-30"/>
        <w:jc w:val="left"/>
        <w:rPr>
          <w:rFonts w:ascii="Calibri" w:hAnsi="Calibri" w:cs="Calibri"/>
          <w:sz w:val="16"/>
          <w:szCs w:val="16"/>
          <w:lang w:val="de-DE"/>
        </w:rPr>
      </w:pPr>
      <w:r w:rsidRPr="002E4EAF">
        <w:rPr>
          <w:rFonts w:ascii="Calibri" w:hAnsi="Calibri" w:cs="Calibri"/>
          <w:sz w:val="16"/>
          <w:szCs w:val="16"/>
          <w:lang w:val="de-DE"/>
        </w:rPr>
        <w:t xml:space="preserve">Tel. </w:t>
      </w:r>
      <w:r w:rsidR="00D64428">
        <w:rPr>
          <w:rFonts w:ascii="Calibri" w:hAnsi="Calibri" w:cs="Calibri"/>
          <w:sz w:val="16"/>
          <w:szCs w:val="16"/>
          <w:lang w:val="de-DE"/>
        </w:rPr>
        <w:t>+49 6841 701701-2106</w:t>
      </w:r>
      <w:r w:rsidRPr="002E4EAF">
        <w:rPr>
          <w:rFonts w:ascii="Calibri" w:hAnsi="Calibri" w:cs="Calibri"/>
          <w:sz w:val="16"/>
          <w:szCs w:val="16"/>
          <w:lang w:val="de-DE"/>
        </w:rPr>
        <w:t>, E-Mail:</w:t>
      </w:r>
      <w:r w:rsidR="00D64428">
        <w:rPr>
          <w:rFonts w:ascii="Calibri" w:hAnsi="Calibri" w:cs="Calibri"/>
          <w:sz w:val="16"/>
          <w:szCs w:val="16"/>
          <w:lang w:val="de-DE"/>
        </w:rPr>
        <w:t xml:space="preserve"> juergen.klein@schaeffler.com</w:t>
      </w:r>
    </w:p>
    <w:p w:rsidR="00B8133C" w:rsidRDefault="00B8133C" w:rsidP="00137AF1">
      <w:pPr>
        <w:autoSpaceDE w:val="0"/>
        <w:autoSpaceDN w:val="0"/>
        <w:adjustRightInd w:val="0"/>
        <w:spacing w:line="240" w:lineRule="auto"/>
        <w:ind w:right="-30"/>
        <w:jc w:val="left"/>
        <w:rPr>
          <w:rFonts w:ascii="Calibri" w:hAnsi="Calibri" w:cs="Calibri"/>
          <w:sz w:val="16"/>
          <w:szCs w:val="16"/>
          <w:lang w:val="de-DE"/>
        </w:rPr>
      </w:pPr>
    </w:p>
    <w:p w:rsidR="00B8133C" w:rsidRPr="000639C1" w:rsidRDefault="00B8133C" w:rsidP="00B8133C">
      <w:pPr>
        <w:autoSpaceDE w:val="0"/>
        <w:autoSpaceDN w:val="0"/>
        <w:adjustRightInd w:val="0"/>
        <w:spacing w:line="240" w:lineRule="auto"/>
        <w:ind w:right="-30"/>
        <w:rPr>
          <w:b/>
          <w:sz w:val="16"/>
          <w:szCs w:val="16"/>
          <w:lang w:val="de-DE"/>
        </w:rPr>
      </w:pPr>
    </w:p>
    <w:p w:rsidR="0053643A" w:rsidRPr="00426D40" w:rsidRDefault="0053643A" w:rsidP="008420DE">
      <w:pPr>
        <w:pStyle w:val="StandardWeb"/>
        <w:spacing w:before="120" w:beforeAutospacing="0" w:after="0" w:afterAutospacing="0"/>
        <w:jc w:val="both"/>
        <w:rPr>
          <w:rFonts w:ascii="Calibri" w:hAnsi="Calibri" w:cs="Calibri"/>
          <w:sz w:val="16"/>
          <w:lang w:val="de-DE" w:eastAsia="zh-CN"/>
        </w:rPr>
      </w:pPr>
    </w:p>
    <w:p w:rsidR="0053643A" w:rsidRPr="00426D40" w:rsidRDefault="0053643A" w:rsidP="00870C46">
      <w:pPr>
        <w:rPr>
          <w:rFonts w:ascii="Calibri" w:hAnsi="Calibri" w:cs="Calibri"/>
          <w:lang w:val="de-DE"/>
        </w:rPr>
      </w:pPr>
    </w:p>
    <w:sectPr w:rsidR="0053643A" w:rsidRPr="00426D40" w:rsidSect="009C401A">
      <w:headerReference w:type="default" r:id="rId11"/>
      <w:footerReference w:type="default" r:id="rId12"/>
      <w:headerReference w:type="first" r:id="rId13"/>
      <w:footerReference w:type="first" r:id="rId14"/>
      <w:type w:val="continuous"/>
      <w:pgSz w:w="11906" w:h="16838" w:code="9"/>
      <w:pgMar w:top="1843" w:right="2834" w:bottom="1191" w:left="1134" w:header="1119" w:footer="907" w:gutter="0"/>
      <w:cols w:space="720"/>
      <w:formProt w:val="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26D40" w:rsidRPr="005B1198" w:rsidRDefault="00426D40">
      <w:r>
        <w:separator/>
      </w:r>
    </w:p>
  </w:endnote>
  <w:endnote w:type="continuationSeparator" w:id="0">
    <w:p w:rsidR="00426D40" w:rsidRPr="005B1198" w:rsidRDefault="00426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0639C1" w:rsidRDefault="0053643A" w:rsidP="00D94867">
    <w:pPr>
      <w:pStyle w:val="Fuzeile"/>
      <w:jc w:val="right"/>
      <w:rPr>
        <w:rFonts w:asciiTheme="minorHAnsi" w:hAnsiTheme="minorHAnsi" w:cstheme="minorHAnsi"/>
      </w:rPr>
    </w:pPr>
    <w:r w:rsidRPr="000639C1">
      <w:rPr>
        <w:rStyle w:val="Seitenzahl"/>
        <w:rFonts w:asciiTheme="minorHAnsi" w:eastAsia="Times New Roman" w:hAnsiTheme="minorHAnsi" w:cstheme="minorHAnsi"/>
        <w:sz w:val="16"/>
        <w:szCs w:val="24"/>
        <w:lang w:val="de-DE"/>
      </w:rPr>
      <w:t>Seite </w:t>
    </w:r>
    <w:r w:rsidRPr="000639C1">
      <w:rPr>
        <w:rStyle w:val="Seitenzahl"/>
        <w:rFonts w:asciiTheme="minorHAnsi" w:eastAsia="Times New Roman" w:hAnsiTheme="minorHAnsi" w:cstheme="minorHAnsi"/>
        <w:sz w:val="16"/>
        <w:szCs w:val="24"/>
        <w:lang w:val="de-DE"/>
      </w:rPr>
      <w:fldChar w:fldCharType="begin"/>
    </w:r>
    <w:r w:rsidRPr="000639C1">
      <w:rPr>
        <w:rStyle w:val="Seitenzahl"/>
        <w:rFonts w:asciiTheme="minorHAnsi" w:eastAsia="Times New Roman" w:hAnsiTheme="minorHAnsi" w:cstheme="minorHAnsi"/>
        <w:sz w:val="16"/>
        <w:szCs w:val="24"/>
        <w:lang w:val="de-DE"/>
      </w:rPr>
      <w:instrText xml:space="preserve"> PAGE </w:instrText>
    </w:r>
    <w:r w:rsidRPr="000639C1">
      <w:rPr>
        <w:rStyle w:val="Seitenzahl"/>
        <w:rFonts w:asciiTheme="minorHAnsi" w:eastAsia="Times New Roman" w:hAnsiTheme="minorHAnsi" w:cstheme="minorHAnsi"/>
        <w:sz w:val="16"/>
        <w:szCs w:val="24"/>
        <w:lang w:val="de-DE"/>
      </w:rPr>
      <w:fldChar w:fldCharType="separate"/>
    </w:r>
    <w:r w:rsidR="00D33199">
      <w:rPr>
        <w:rStyle w:val="Seitenzahl"/>
        <w:rFonts w:asciiTheme="minorHAnsi" w:eastAsia="Times New Roman" w:hAnsiTheme="minorHAnsi" w:cstheme="minorHAnsi"/>
        <w:noProof/>
        <w:sz w:val="16"/>
        <w:szCs w:val="24"/>
        <w:lang w:val="de-DE"/>
      </w:rPr>
      <w:t>2</w:t>
    </w:r>
    <w:r w:rsidRPr="000639C1">
      <w:rPr>
        <w:rStyle w:val="Seitenzahl"/>
        <w:rFonts w:asciiTheme="minorHAnsi" w:eastAsia="Times New Roman" w:hAnsiTheme="minorHAnsi" w:cstheme="minorHAnsi"/>
        <w:sz w:val="16"/>
        <w:szCs w:val="24"/>
        <w:lang w:val="de-DE"/>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0639C1" w:rsidRDefault="0053643A" w:rsidP="00D94867">
    <w:pPr>
      <w:pStyle w:val="Fuzeile"/>
      <w:jc w:val="right"/>
      <w:rPr>
        <w:rFonts w:asciiTheme="minorHAnsi" w:hAnsiTheme="minorHAnsi" w:cstheme="minorHAnsi"/>
        <w:sz w:val="16"/>
        <w:szCs w:val="16"/>
      </w:rPr>
    </w:pPr>
    <w:r w:rsidRPr="000639C1">
      <w:rPr>
        <w:rStyle w:val="Seitenzahl"/>
        <w:rFonts w:asciiTheme="minorHAnsi" w:eastAsia="Times New Roman" w:hAnsiTheme="minorHAnsi" w:cstheme="minorHAnsi"/>
        <w:sz w:val="16"/>
        <w:szCs w:val="24"/>
        <w:lang w:val="de-DE"/>
      </w:rPr>
      <w:t>Seite </w:t>
    </w:r>
    <w:r w:rsidRPr="000639C1">
      <w:rPr>
        <w:rStyle w:val="Seitenzahl"/>
        <w:rFonts w:asciiTheme="minorHAnsi" w:eastAsia="Times New Roman" w:hAnsiTheme="minorHAnsi" w:cstheme="minorHAnsi"/>
        <w:sz w:val="16"/>
        <w:szCs w:val="24"/>
        <w:lang w:val="de-DE"/>
      </w:rPr>
      <w:fldChar w:fldCharType="begin"/>
    </w:r>
    <w:r w:rsidRPr="000639C1">
      <w:rPr>
        <w:rStyle w:val="Seitenzahl"/>
        <w:rFonts w:asciiTheme="minorHAnsi" w:eastAsia="Times New Roman" w:hAnsiTheme="minorHAnsi" w:cstheme="minorHAnsi"/>
        <w:sz w:val="16"/>
        <w:szCs w:val="24"/>
        <w:lang w:val="de-DE"/>
      </w:rPr>
      <w:instrText xml:space="preserve"> PAGE </w:instrText>
    </w:r>
    <w:r w:rsidRPr="000639C1">
      <w:rPr>
        <w:rStyle w:val="Seitenzahl"/>
        <w:rFonts w:asciiTheme="minorHAnsi" w:eastAsia="Times New Roman" w:hAnsiTheme="minorHAnsi" w:cstheme="minorHAnsi"/>
        <w:sz w:val="16"/>
        <w:szCs w:val="24"/>
        <w:lang w:val="de-DE"/>
      </w:rPr>
      <w:fldChar w:fldCharType="separate"/>
    </w:r>
    <w:r w:rsidR="00D33199">
      <w:rPr>
        <w:rStyle w:val="Seitenzahl"/>
        <w:rFonts w:asciiTheme="minorHAnsi" w:eastAsia="Times New Roman" w:hAnsiTheme="minorHAnsi" w:cstheme="minorHAnsi"/>
        <w:noProof/>
        <w:sz w:val="16"/>
        <w:szCs w:val="24"/>
        <w:lang w:val="de-DE"/>
      </w:rPr>
      <w:t>1</w:t>
    </w:r>
    <w:r w:rsidRPr="000639C1">
      <w:rPr>
        <w:rStyle w:val="Seitenzahl"/>
        <w:rFonts w:asciiTheme="minorHAnsi" w:eastAsia="Times New Roman" w:hAnsiTheme="minorHAnsi" w:cstheme="minorHAnsi"/>
        <w:sz w:val="16"/>
        <w:szCs w:val="24"/>
        <w:lang w:val="de-DE"/>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26D40" w:rsidRPr="005B1198" w:rsidRDefault="00426D40">
      <w:r>
        <w:separator/>
      </w:r>
    </w:p>
  </w:footnote>
  <w:footnote w:type="continuationSeparator" w:id="0">
    <w:p w:rsidR="00426D40" w:rsidRPr="005B1198" w:rsidRDefault="00426D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5B1198" w:rsidRDefault="00D33199" w:rsidP="00152166">
    <w:pPr>
      <w:pStyle w:val="FormTitel"/>
    </w:pPr>
    <w:r>
      <w:rPr>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chaeffler_35" o:spid="_x0000_s2049" type="#_x0000_t75" alt="Schaeffler_35mm" style="position:absolute;left:0;text-align:left;margin-left:453.6pt;margin-top:60.65pt;width:99.65pt;height:10.9pt;z-index:251657216;visibility:visible;mso-position-horizontal-relative:page;mso-position-vertical-relative:page">
          <v:imagedata r:id="rId1" o:title=""/>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0108C4" w:rsidRDefault="00D33199" w:rsidP="00D94867">
    <w:pPr>
      <w:pStyle w:val="FormTitel"/>
      <w:spacing w:before="1080"/>
      <w:rPr>
        <w:rFonts w:ascii="Calibri" w:hAnsi="Calibri" w:cs="Calibri"/>
      </w:rPr>
    </w:pPr>
    <w:r>
      <w:rPr>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alt="Schaeffler_35mm" style="position:absolute;left:0;text-align:left;margin-left:453.95pt;margin-top:60.9pt;width:99.65pt;height:10.9pt;z-index:251658240;visibility:visible;mso-position-horizontal-relative:page;mso-position-vertical-relative:page">
          <v:imagedata r:id="rId1" o:title=""/>
          <w10:wrap anchorx="page" anchory="page"/>
        </v:shape>
      </w:pict>
    </w:r>
    <w:r w:rsidR="0053643A">
      <w:rPr>
        <w:rFonts w:ascii="Calibri" w:eastAsia="Times New Roman" w:hAnsi="Calibri" w:cs="Times New Roman"/>
        <w:noProof w:val="0"/>
      </w:rPr>
      <w:t>Pressemitteilung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68AF99A"/>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E1BECD26"/>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EBCD81A"/>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120C120"/>
    <w:lvl w:ilvl="0">
      <w:start w:val="1"/>
      <w:numFmt w:val="lowerLetter"/>
      <w:lvlText w:val="%1)"/>
      <w:lvlJc w:val="left"/>
      <w:pPr>
        <w:tabs>
          <w:tab w:val="num" w:pos="284"/>
        </w:tabs>
        <w:ind w:left="284" w:hanging="284"/>
      </w:pPr>
      <w:rPr>
        <w:rFonts w:cs="Times New Roman" w:hint="default"/>
      </w:rPr>
    </w:lvl>
  </w:abstractNum>
  <w:abstractNum w:abstractNumId="4" w15:restartNumberingAfterBreak="0">
    <w:nsid w:val="FFFFFF80"/>
    <w:multiLevelType w:val="singleLevel"/>
    <w:tmpl w:val="D1F07C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96489A"/>
    <w:lvl w:ilvl="0">
      <w:start w:val="1"/>
      <w:numFmt w:val="bullet"/>
      <w:pStyle w:val="Listennummer2"/>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5126532"/>
    <w:lvl w:ilvl="0">
      <w:start w:val="1"/>
      <w:numFmt w:val="bullet"/>
      <w:pStyle w:val="Listennummer"/>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1D40678"/>
    <w:lvl w:ilvl="0">
      <w:start w:val="1"/>
      <w:numFmt w:val="bullet"/>
      <w:lvlText w:val=""/>
      <w:lvlJc w:val="left"/>
      <w:pPr>
        <w:tabs>
          <w:tab w:val="num" w:pos="567"/>
        </w:tabs>
        <w:ind w:left="567" w:hanging="284"/>
      </w:pPr>
      <w:rPr>
        <w:rFonts w:ascii="Symbol" w:hAnsi="Symbol" w:hint="default"/>
      </w:rPr>
    </w:lvl>
  </w:abstractNum>
  <w:abstractNum w:abstractNumId="8" w15:restartNumberingAfterBreak="0">
    <w:nsid w:val="FFFFFF88"/>
    <w:multiLevelType w:val="singleLevel"/>
    <w:tmpl w:val="511C3636"/>
    <w:lvl w:ilvl="0">
      <w:start w:val="1"/>
      <w:numFmt w:val="decimal"/>
      <w:lvlText w:val="%1."/>
      <w:lvlJc w:val="left"/>
      <w:pPr>
        <w:tabs>
          <w:tab w:val="num" w:pos="284"/>
        </w:tabs>
        <w:ind w:left="284" w:hanging="284"/>
      </w:pPr>
      <w:rPr>
        <w:rFonts w:cs="Times New Roman" w:hint="default"/>
      </w:rPr>
    </w:lvl>
  </w:abstractNum>
  <w:abstractNum w:abstractNumId="9" w15:restartNumberingAfterBreak="0">
    <w:nsid w:val="FFFFFF89"/>
    <w:multiLevelType w:val="singleLevel"/>
    <w:tmpl w:val="34E24982"/>
    <w:lvl w:ilvl="0">
      <w:start w:val="1"/>
      <w:numFmt w:val="bullet"/>
      <w:lvlText w:val=""/>
      <w:lvlJc w:val="left"/>
      <w:pPr>
        <w:tabs>
          <w:tab w:val="num" w:pos="284"/>
        </w:tabs>
        <w:ind w:left="284" w:hanging="284"/>
      </w:pPr>
      <w:rPr>
        <w:rFonts w:ascii="Symbol" w:hAnsi="Symbol" w:hint="default"/>
      </w:rPr>
    </w:lvl>
  </w:abstractNum>
  <w:abstractNum w:abstractNumId="10" w15:restartNumberingAfterBreak="0">
    <w:nsid w:val="007B1482"/>
    <w:multiLevelType w:val="singleLevel"/>
    <w:tmpl w:val="CBF27F54"/>
    <w:lvl w:ilvl="0">
      <w:start w:val="1"/>
      <w:numFmt w:val="bullet"/>
      <w:lvlText w:val="-"/>
      <w:lvlJc w:val="left"/>
      <w:pPr>
        <w:tabs>
          <w:tab w:val="num" w:pos="360"/>
        </w:tabs>
        <w:ind w:left="360" w:hanging="360"/>
      </w:pPr>
      <w:rPr>
        <w:rFonts w:hint="default"/>
      </w:rPr>
    </w:lvl>
  </w:abstractNum>
  <w:abstractNum w:abstractNumId="11" w15:restartNumberingAfterBreak="0">
    <w:nsid w:val="04AB3438"/>
    <w:multiLevelType w:val="multilevel"/>
    <w:tmpl w:val="9EA83896"/>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737"/>
        </w:tabs>
        <w:ind w:left="737" w:hanging="737"/>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27425868"/>
    <w:multiLevelType w:val="hybridMultilevel"/>
    <w:tmpl w:val="C096D07E"/>
    <w:lvl w:ilvl="0" w:tplc="D196FC36">
      <w:start w:val="1"/>
      <w:numFmt w:val="bullet"/>
      <w:lvlText w:val=""/>
      <w:lvlJc w:val="left"/>
      <w:pPr>
        <w:tabs>
          <w:tab w:val="num" w:pos="720"/>
        </w:tabs>
        <w:ind w:left="720" w:hanging="360"/>
      </w:pPr>
      <w:rPr>
        <w:rFonts w:ascii="Symbol" w:hAnsi="Symbol" w:hint="default"/>
      </w:rPr>
    </w:lvl>
    <w:lvl w:ilvl="1" w:tplc="4F0CF44C" w:tentative="1">
      <w:start w:val="1"/>
      <w:numFmt w:val="bullet"/>
      <w:lvlText w:val="o"/>
      <w:lvlJc w:val="left"/>
      <w:pPr>
        <w:tabs>
          <w:tab w:val="num" w:pos="1440"/>
        </w:tabs>
        <w:ind w:left="1440" w:hanging="360"/>
      </w:pPr>
      <w:rPr>
        <w:rFonts w:ascii="Courier New" w:hAnsi="Courier New" w:hint="default"/>
      </w:rPr>
    </w:lvl>
    <w:lvl w:ilvl="2" w:tplc="C0449988" w:tentative="1">
      <w:start w:val="1"/>
      <w:numFmt w:val="bullet"/>
      <w:lvlText w:val=""/>
      <w:lvlJc w:val="left"/>
      <w:pPr>
        <w:tabs>
          <w:tab w:val="num" w:pos="2160"/>
        </w:tabs>
        <w:ind w:left="2160" w:hanging="360"/>
      </w:pPr>
      <w:rPr>
        <w:rFonts w:ascii="Wingdings" w:hAnsi="Wingdings" w:hint="default"/>
      </w:rPr>
    </w:lvl>
    <w:lvl w:ilvl="3" w:tplc="A36611FE" w:tentative="1">
      <w:start w:val="1"/>
      <w:numFmt w:val="bullet"/>
      <w:lvlText w:val=""/>
      <w:lvlJc w:val="left"/>
      <w:pPr>
        <w:tabs>
          <w:tab w:val="num" w:pos="2880"/>
        </w:tabs>
        <w:ind w:left="2880" w:hanging="360"/>
      </w:pPr>
      <w:rPr>
        <w:rFonts w:ascii="Symbol" w:hAnsi="Symbol" w:hint="default"/>
      </w:rPr>
    </w:lvl>
    <w:lvl w:ilvl="4" w:tplc="97D4205E" w:tentative="1">
      <w:start w:val="1"/>
      <w:numFmt w:val="bullet"/>
      <w:lvlText w:val="o"/>
      <w:lvlJc w:val="left"/>
      <w:pPr>
        <w:tabs>
          <w:tab w:val="num" w:pos="3600"/>
        </w:tabs>
        <w:ind w:left="3600" w:hanging="360"/>
      </w:pPr>
      <w:rPr>
        <w:rFonts w:ascii="Courier New" w:hAnsi="Courier New" w:hint="default"/>
      </w:rPr>
    </w:lvl>
    <w:lvl w:ilvl="5" w:tplc="05107BE2" w:tentative="1">
      <w:start w:val="1"/>
      <w:numFmt w:val="bullet"/>
      <w:lvlText w:val=""/>
      <w:lvlJc w:val="left"/>
      <w:pPr>
        <w:tabs>
          <w:tab w:val="num" w:pos="4320"/>
        </w:tabs>
        <w:ind w:left="4320" w:hanging="360"/>
      </w:pPr>
      <w:rPr>
        <w:rFonts w:ascii="Wingdings" w:hAnsi="Wingdings" w:hint="default"/>
      </w:rPr>
    </w:lvl>
    <w:lvl w:ilvl="6" w:tplc="1AA8F2EE" w:tentative="1">
      <w:start w:val="1"/>
      <w:numFmt w:val="bullet"/>
      <w:lvlText w:val=""/>
      <w:lvlJc w:val="left"/>
      <w:pPr>
        <w:tabs>
          <w:tab w:val="num" w:pos="5040"/>
        </w:tabs>
        <w:ind w:left="5040" w:hanging="360"/>
      </w:pPr>
      <w:rPr>
        <w:rFonts w:ascii="Symbol" w:hAnsi="Symbol" w:hint="default"/>
      </w:rPr>
    </w:lvl>
    <w:lvl w:ilvl="7" w:tplc="4684B904" w:tentative="1">
      <w:start w:val="1"/>
      <w:numFmt w:val="bullet"/>
      <w:lvlText w:val="o"/>
      <w:lvlJc w:val="left"/>
      <w:pPr>
        <w:tabs>
          <w:tab w:val="num" w:pos="5760"/>
        </w:tabs>
        <w:ind w:left="5760" w:hanging="360"/>
      </w:pPr>
      <w:rPr>
        <w:rFonts w:ascii="Courier New" w:hAnsi="Courier New" w:hint="default"/>
      </w:rPr>
    </w:lvl>
    <w:lvl w:ilvl="8" w:tplc="76DEA6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625FEF"/>
    <w:multiLevelType w:val="multilevel"/>
    <w:tmpl w:val="185AA3C4"/>
    <w:lvl w:ilvl="0">
      <w:start w:val="1"/>
      <w:numFmt w:val="decimal"/>
      <w:lvlText w:val="%1."/>
      <w:lvlJc w:val="left"/>
      <w:pPr>
        <w:tabs>
          <w:tab w:val="num" w:pos="454"/>
        </w:tabs>
        <w:ind w:left="454" w:hanging="454"/>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2.%1.%3."/>
      <w:lvlJc w:val="left"/>
      <w:pPr>
        <w:tabs>
          <w:tab w:val="num" w:pos="1440"/>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4" w15:restartNumberingAfterBreak="0">
    <w:nsid w:val="3C8333CE"/>
    <w:multiLevelType w:val="hybridMultilevel"/>
    <w:tmpl w:val="43A6CDE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E544E05"/>
    <w:multiLevelType w:val="singleLevel"/>
    <w:tmpl w:val="654CA3D0"/>
    <w:lvl w:ilvl="0">
      <w:start w:val="1"/>
      <w:numFmt w:val="bullet"/>
      <w:lvlText w:val=""/>
      <w:lvlJc w:val="left"/>
      <w:pPr>
        <w:tabs>
          <w:tab w:val="num" w:pos="227"/>
        </w:tabs>
        <w:ind w:left="227" w:hanging="227"/>
      </w:pPr>
      <w:rPr>
        <w:rFonts w:ascii="Symbol" w:hAnsi="Symbol" w:hint="default"/>
        <w:sz w:val="16"/>
      </w:rPr>
    </w:lvl>
  </w:abstractNum>
  <w:abstractNum w:abstractNumId="16" w15:restartNumberingAfterBreak="0">
    <w:nsid w:val="3E724C14"/>
    <w:multiLevelType w:val="multilevel"/>
    <w:tmpl w:val="45D8D94C"/>
    <w:lvl w:ilvl="0">
      <w:start w:val="1"/>
      <w:numFmt w:val="decimal"/>
      <w:suff w:val="space"/>
      <w:lvlText w:val="%1."/>
      <w:lvlJc w:val="left"/>
      <w:pPr>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2.%1.%3."/>
      <w:lvlJc w:val="left"/>
      <w:pPr>
        <w:tabs>
          <w:tab w:val="num" w:pos="1440"/>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7" w15:restartNumberingAfterBreak="0">
    <w:nsid w:val="3F9903A5"/>
    <w:multiLevelType w:val="multilevel"/>
    <w:tmpl w:val="F692C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4D2652F"/>
    <w:multiLevelType w:val="multilevel"/>
    <w:tmpl w:val="238C321A"/>
    <w:lvl w:ilvl="0">
      <w:start w:val="1"/>
      <w:numFmt w:val="decimal"/>
      <w:pStyle w:val="Aufzhlungszeichen2"/>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466C4FD4"/>
    <w:multiLevelType w:val="multilevel"/>
    <w:tmpl w:val="FFD4EE8C"/>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0" w15:restartNumberingAfterBreak="0">
    <w:nsid w:val="52CA6241"/>
    <w:multiLevelType w:val="multilevel"/>
    <w:tmpl w:val="9EA83896"/>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737"/>
        </w:tabs>
        <w:ind w:left="737" w:hanging="737"/>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1" w15:restartNumberingAfterBreak="0">
    <w:nsid w:val="5C585D5F"/>
    <w:multiLevelType w:val="multilevel"/>
    <w:tmpl w:val="62802462"/>
    <w:lvl w:ilvl="0">
      <w:start w:val="1"/>
      <w:numFmt w:val="decimal"/>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2" w15:restartNumberingAfterBreak="0">
    <w:nsid w:val="5E507EBA"/>
    <w:multiLevelType w:val="hybridMultilevel"/>
    <w:tmpl w:val="76701A4C"/>
    <w:lvl w:ilvl="0" w:tplc="2E6C45DA">
      <w:numFmt w:val="bullet"/>
      <w:lvlText w:val="-"/>
      <w:lvlJc w:val="left"/>
      <w:pPr>
        <w:tabs>
          <w:tab w:val="num" w:pos="720"/>
        </w:tabs>
        <w:ind w:left="720" w:hanging="360"/>
      </w:pPr>
      <w:rPr>
        <w:rFonts w:ascii="Arial" w:eastAsia="Times New Roman" w:hAnsi="Arial" w:hint="default"/>
      </w:rPr>
    </w:lvl>
    <w:lvl w:ilvl="1" w:tplc="317A7788" w:tentative="1">
      <w:start w:val="1"/>
      <w:numFmt w:val="bullet"/>
      <w:lvlText w:val="o"/>
      <w:lvlJc w:val="left"/>
      <w:pPr>
        <w:tabs>
          <w:tab w:val="num" w:pos="1440"/>
        </w:tabs>
        <w:ind w:left="1440" w:hanging="360"/>
      </w:pPr>
      <w:rPr>
        <w:rFonts w:ascii="Courier New" w:hAnsi="Courier New" w:hint="default"/>
      </w:rPr>
    </w:lvl>
    <w:lvl w:ilvl="2" w:tplc="3BB84D28" w:tentative="1">
      <w:start w:val="1"/>
      <w:numFmt w:val="bullet"/>
      <w:lvlText w:val=""/>
      <w:lvlJc w:val="left"/>
      <w:pPr>
        <w:tabs>
          <w:tab w:val="num" w:pos="2160"/>
        </w:tabs>
        <w:ind w:left="2160" w:hanging="360"/>
      </w:pPr>
      <w:rPr>
        <w:rFonts w:ascii="Wingdings" w:hAnsi="Wingdings" w:hint="default"/>
      </w:rPr>
    </w:lvl>
    <w:lvl w:ilvl="3" w:tplc="699AB6E2" w:tentative="1">
      <w:start w:val="1"/>
      <w:numFmt w:val="bullet"/>
      <w:lvlText w:val=""/>
      <w:lvlJc w:val="left"/>
      <w:pPr>
        <w:tabs>
          <w:tab w:val="num" w:pos="2880"/>
        </w:tabs>
        <w:ind w:left="2880" w:hanging="360"/>
      </w:pPr>
      <w:rPr>
        <w:rFonts w:ascii="Symbol" w:hAnsi="Symbol" w:hint="default"/>
      </w:rPr>
    </w:lvl>
    <w:lvl w:ilvl="4" w:tplc="AF62B3C4" w:tentative="1">
      <w:start w:val="1"/>
      <w:numFmt w:val="bullet"/>
      <w:lvlText w:val="o"/>
      <w:lvlJc w:val="left"/>
      <w:pPr>
        <w:tabs>
          <w:tab w:val="num" w:pos="3600"/>
        </w:tabs>
        <w:ind w:left="3600" w:hanging="360"/>
      </w:pPr>
      <w:rPr>
        <w:rFonts w:ascii="Courier New" w:hAnsi="Courier New" w:hint="default"/>
      </w:rPr>
    </w:lvl>
    <w:lvl w:ilvl="5" w:tplc="D89EA6CA" w:tentative="1">
      <w:start w:val="1"/>
      <w:numFmt w:val="bullet"/>
      <w:lvlText w:val=""/>
      <w:lvlJc w:val="left"/>
      <w:pPr>
        <w:tabs>
          <w:tab w:val="num" w:pos="4320"/>
        </w:tabs>
        <w:ind w:left="4320" w:hanging="360"/>
      </w:pPr>
      <w:rPr>
        <w:rFonts w:ascii="Wingdings" w:hAnsi="Wingdings" w:hint="default"/>
      </w:rPr>
    </w:lvl>
    <w:lvl w:ilvl="6" w:tplc="1EAAAB58" w:tentative="1">
      <w:start w:val="1"/>
      <w:numFmt w:val="bullet"/>
      <w:lvlText w:val=""/>
      <w:lvlJc w:val="left"/>
      <w:pPr>
        <w:tabs>
          <w:tab w:val="num" w:pos="5040"/>
        </w:tabs>
        <w:ind w:left="5040" w:hanging="360"/>
      </w:pPr>
      <w:rPr>
        <w:rFonts w:ascii="Symbol" w:hAnsi="Symbol" w:hint="default"/>
      </w:rPr>
    </w:lvl>
    <w:lvl w:ilvl="7" w:tplc="D9A652D2" w:tentative="1">
      <w:start w:val="1"/>
      <w:numFmt w:val="bullet"/>
      <w:lvlText w:val="o"/>
      <w:lvlJc w:val="left"/>
      <w:pPr>
        <w:tabs>
          <w:tab w:val="num" w:pos="5760"/>
        </w:tabs>
        <w:ind w:left="5760" w:hanging="360"/>
      </w:pPr>
      <w:rPr>
        <w:rFonts w:ascii="Courier New" w:hAnsi="Courier New" w:hint="default"/>
      </w:rPr>
    </w:lvl>
    <w:lvl w:ilvl="8" w:tplc="BE4A9934"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C9A115A"/>
    <w:multiLevelType w:val="multilevel"/>
    <w:tmpl w:val="FFD4EE8C"/>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4" w15:restartNumberingAfterBreak="0">
    <w:nsid w:val="6E283D61"/>
    <w:multiLevelType w:val="multilevel"/>
    <w:tmpl w:val="AF585DAC"/>
    <w:lvl w:ilvl="0">
      <w:start w:val="1"/>
      <w:numFmt w:val="decimal"/>
      <w:lvlText w:val="%1"/>
      <w:lvlJc w:val="left"/>
      <w:pPr>
        <w:tabs>
          <w:tab w:val="num" w:pos="397"/>
        </w:tabs>
        <w:ind w:left="397" w:hanging="397"/>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5" w15:restartNumberingAfterBreak="0">
    <w:nsid w:val="741D5AA4"/>
    <w:multiLevelType w:val="multilevel"/>
    <w:tmpl w:val="C64CE2AE"/>
    <w:lvl w:ilvl="0">
      <w:start w:val="1"/>
      <w:numFmt w:val="decimal"/>
      <w:pStyle w:val="Aufzhlungszeichen"/>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77A54AA3"/>
    <w:multiLevelType w:val="singleLevel"/>
    <w:tmpl w:val="66A06984"/>
    <w:lvl w:ilvl="0">
      <w:start w:val="1"/>
      <w:numFmt w:val="bullet"/>
      <w:lvlText w:val=""/>
      <w:lvlJc w:val="left"/>
      <w:pPr>
        <w:tabs>
          <w:tab w:val="num" w:pos="454"/>
        </w:tabs>
        <w:ind w:left="454" w:hanging="227"/>
      </w:pPr>
      <w:rPr>
        <w:rFonts w:ascii="Symbol" w:hAnsi="Symbol" w:hint="default"/>
      </w:rPr>
    </w:lvl>
  </w:abstractNum>
  <w:abstractNum w:abstractNumId="27" w15:restartNumberingAfterBreak="0">
    <w:nsid w:val="78AD5AB4"/>
    <w:multiLevelType w:val="multilevel"/>
    <w:tmpl w:val="9EA83896"/>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pStyle w:val="berschrift3"/>
      <w:lvlText w:val="%1.%2.%3"/>
      <w:lvlJc w:val="left"/>
      <w:pPr>
        <w:tabs>
          <w:tab w:val="num" w:pos="624"/>
        </w:tabs>
        <w:ind w:left="624" w:hanging="624"/>
      </w:pPr>
      <w:rPr>
        <w:rFonts w:cs="Times New Roman" w:hint="default"/>
      </w:rPr>
    </w:lvl>
    <w:lvl w:ilvl="3">
      <w:start w:val="1"/>
      <w:numFmt w:val="decimal"/>
      <w:pStyle w:val="berschrift4"/>
      <w:lvlText w:val="%1.%2.%3.%4"/>
      <w:lvlJc w:val="left"/>
      <w:pPr>
        <w:tabs>
          <w:tab w:val="num" w:pos="737"/>
        </w:tabs>
        <w:ind w:left="737" w:hanging="737"/>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8"/>
  </w:num>
  <w:num w:numId="2">
    <w:abstractNumId w:val="3"/>
  </w:num>
  <w:num w:numId="3">
    <w:abstractNumId w:val="9"/>
  </w:num>
  <w:num w:numId="4">
    <w:abstractNumId w:val="7"/>
  </w:num>
  <w:num w:numId="5">
    <w:abstractNumId w:val="8"/>
  </w:num>
  <w:num w:numId="6">
    <w:abstractNumId w:val="3"/>
  </w:num>
  <w:num w:numId="7">
    <w:abstractNumId w:val="9"/>
  </w:num>
  <w:num w:numId="8">
    <w:abstractNumId w:val="7"/>
  </w:num>
  <w:num w:numId="9">
    <w:abstractNumId w:val="15"/>
  </w:num>
  <w:num w:numId="10">
    <w:abstractNumId w:val="26"/>
  </w:num>
  <w:num w:numId="11">
    <w:abstractNumId w:val="27"/>
  </w:num>
  <w:num w:numId="12">
    <w:abstractNumId w:val="16"/>
  </w:num>
  <w:num w:numId="13">
    <w:abstractNumId w:val="16"/>
  </w:num>
  <w:num w:numId="14">
    <w:abstractNumId w:val="10"/>
  </w:num>
  <w:num w:numId="15">
    <w:abstractNumId w:val="13"/>
  </w:num>
  <w:num w:numId="16">
    <w:abstractNumId w:val="21"/>
  </w:num>
  <w:num w:numId="17">
    <w:abstractNumId w:val="24"/>
  </w:num>
  <w:num w:numId="18">
    <w:abstractNumId w:val="25"/>
  </w:num>
  <w:num w:numId="19">
    <w:abstractNumId w:val="18"/>
  </w:num>
  <w:num w:numId="20">
    <w:abstractNumId w:val="23"/>
  </w:num>
  <w:num w:numId="21">
    <w:abstractNumId w:val="19"/>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8"/>
  </w:num>
  <w:num w:numId="33">
    <w:abstractNumId w:val="3"/>
  </w:num>
  <w:num w:numId="34">
    <w:abstractNumId w:val="11"/>
  </w:num>
  <w:num w:numId="35">
    <w:abstractNumId w:val="20"/>
  </w:num>
  <w:num w:numId="36">
    <w:abstractNumId w:val="17"/>
  </w:num>
  <w:num w:numId="37">
    <w:abstractNumId w:val="22"/>
  </w:num>
  <w:num w:numId="38">
    <w:abstractNumId w:val="12"/>
  </w:num>
  <w:num w:numId="3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397"/>
  <w:doNotHyphenateCaps/>
  <w:drawingGridHorizontalSpacing w:val="57"/>
  <w:drawingGridVerticalSpacing w:val="57"/>
  <w:displayHorizontalDrawingGridEvery w:val="0"/>
  <w:displayVerticalDrawingGridEvery w:val="0"/>
  <w:doNotUseMarginsForDrawingGridOrigin/>
  <w:drawingGridVerticalOrigin w:val="198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B1198"/>
    <w:rsid w:val="000036D2"/>
    <w:rsid w:val="00003DC6"/>
    <w:rsid w:val="000108C4"/>
    <w:rsid w:val="00014D0C"/>
    <w:rsid w:val="00023186"/>
    <w:rsid w:val="00032CAF"/>
    <w:rsid w:val="0003353D"/>
    <w:rsid w:val="000343D3"/>
    <w:rsid w:val="00043887"/>
    <w:rsid w:val="00044EE9"/>
    <w:rsid w:val="00046B50"/>
    <w:rsid w:val="000503F3"/>
    <w:rsid w:val="000506F2"/>
    <w:rsid w:val="00050D21"/>
    <w:rsid w:val="00055A37"/>
    <w:rsid w:val="000639C1"/>
    <w:rsid w:val="0006548E"/>
    <w:rsid w:val="00066920"/>
    <w:rsid w:val="00071497"/>
    <w:rsid w:val="0008047B"/>
    <w:rsid w:val="00087247"/>
    <w:rsid w:val="000A39B8"/>
    <w:rsid w:val="000A5838"/>
    <w:rsid w:val="000B550F"/>
    <w:rsid w:val="000B581E"/>
    <w:rsid w:val="000B7B8A"/>
    <w:rsid w:val="000E230F"/>
    <w:rsid w:val="000E621F"/>
    <w:rsid w:val="000F06D2"/>
    <w:rsid w:val="000F18AF"/>
    <w:rsid w:val="001034D0"/>
    <w:rsid w:val="0011597C"/>
    <w:rsid w:val="00115C55"/>
    <w:rsid w:val="00126F3A"/>
    <w:rsid w:val="00136692"/>
    <w:rsid w:val="00137AF1"/>
    <w:rsid w:val="00146AD8"/>
    <w:rsid w:val="00152166"/>
    <w:rsid w:val="00165810"/>
    <w:rsid w:val="001670B9"/>
    <w:rsid w:val="00180ECC"/>
    <w:rsid w:val="00181E98"/>
    <w:rsid w:val="001864FD"/>
    <w:rsid w:val="00187EC8"/>
    <w:rsid w:val="001B0349"/>
    <w:rsid w:val="001B0A9C"/>
    <w:rsid w:val="001B70B1"/>
    <w:rsid w:val="001C2A07"/>
    <w:rsid w:val="001D276E"/>
    <w:rsid w:val="001E25C0"/>
    <w:rsid w:val="00224C7F"/>
    <w:rsid w:val="00225503"/>
    <w:rsid w:val="00243610"/>
    <w:rsid w:val="00250001"/>
    <w:rsid w:val="0025169B"/>
    <w:rsid w:val="00260071"/>
    <w:rsid w:val="00261B80"/>
    <w:rsid w:val="00264AA0"/>
    <w:rsid w:val="00271F53"/>
    <w:rsid w:val="0027271F"/>
    <w:rsid w:val="00280123"/>
    <w:rsid w:val="002830B8"/>
    <w:rsid w:val="002868DB"/>
    <w:rsid w:val="00293183"/>
    <w:rsid w:val="002A4502"/>
    <w:rsid w:val="002B6756"/>
    <w:rsid w:val="002D2282"/>
    <w:rsid w:val="002E4387"/>
    <w:rsid w:val="002E4EAF"/>
    <w:rsid w:val="002E4F31"/>
    <w:rsid w:val="002F0EA6"/>
    <w:rsid w:val="002F5DCE"/>
    <w:rsid w:val="003056C6"/>
    <w:rsid w:val="00310A29"/>
    <w:rsid w:val="00313C94"/>
    <w:rsid w:val="00334176"/>
    <w:rsid w:val="0034371E"/>
    <w:rsid w:val="00350B33"/>
    <w:rsid w:val="00351187"/>
    <w:rsid w:val="0038004B"/>
    <w:rsid w:val="00380A85"/>
    <w:rsid w:val="00386486"/>
    <w:rsid w:val="00386E43"/>
    <w:rsid w:val="00394751"/>
    <w:rsid w:val="003A3DDC"/>
    <w:rsid w:val="003A5559"/>
    <w:rsid w:val="003B46C3"/>
    <w:rsid w:val="003B5CE2"/>
    <w:rsid w:val="003C3226"/>
    <w:rsid w:val="003D1794"/>
    <w:rsid w:val="003F29CD"/>
    <w:rsid w:val="003F7911"/>
    <w:rsid w:val="0041010C"/>
    <w:rsid w:val="004161D3"/>
    <w:rsid w:val="004228D5"/>
    <w:rsid w:val="00426D40"/>
    <w:rsid w:val="004303D2"/>
    <w:rsid w:val="00433D60"/>
    <w:rsid w:val="0043538C"/>
    <w:rsid w:val="004364B4"/>
    <w:rsid w:val="00446B7A"/>
    <w:rsid w:val="004561EF"/>
    <w:rsid w:val="00461C26"/>
    <w:rsid w:val="00474DCF"/>
    <w:rsid w:val="0048066B"/>
    <w:rsid w:val="00494895"/>
    <w:rsid w:val="004979BE"/>
    <w:rsid w:val="004A0171"/>
    <w:rsid w:val="004A35EE"/>
    <w:rsid w:val="004A4009"/>
    <w:rsid w:val="004A550C"/>
    <w:rsid w:val="004C5BFC"/>
    <w:rsid w:val="004C7979"/>
    <w:rsid w:val="004D18E7"/>
    <w:rsid w:val="004E05CD"/>
    <w:rsid w:val="004E1566"/>
    <w:rsid w:val="005014A9"/>
    <w:rsid w:val="00504E43"/>
    <w:rsid w:val="0051248C"/>
    <w:rsid w:val="00513BC1"/>
    <w:rsid w:val="0052283A"/>
    <w:rsid w:val="00530AB3"/>
    <w:rsid w:val="00535FD0"/>
    <w:rsid w:val="0053643A"/>
    <w:rsid w:val="00537143"/>
    <w:rsid w:val="00537B7F"/>
    <w:rsid w:val="00540CA7"/>
    <w:rsid w:val="005428E9"/>
    <w:rsid w:val="00551A11"/>
    <w:rsid w:val="0055582E"/>
    <w:rsid w:val="00557E30"/>
    <w:rsid w:val="005A621C"/>
    <w:rsid w:val="005A6242"/>
    <w:rsid w:val="005B1198"/>
    <w:rsid w:val="005B665B"/>
    <w:rsid w:val="005C434A"/>
    <w:rsid w:val="005C7E8B"/>
    <w:rsid w:val="005D3852"/>
    <w:rsid w:val="005D4EE9"/>
    <w:rsid w:val="00604E2E"/>
    <w:rsid w:val="006135B1"/>
    <w:rsid w:val="0062744A"/>
    <w:rsid w:val="00630DDF"/>
    <w:rsid w:val="00633284"/>
    <w:rsid w:val="00637C5C"/>
    <w:rsid w:val="0065112C"/>
    <w:rsid w:val="0065205C"/>
    <w:rsid w:val="0066064B"/>
    <w:rsid w:val="006732E6"/>
    <w:rsid w:val="00682F76"/>
    <w:rsid w:val="006A4657"/>
    <w:rsid w:val="006C1418"/>
    <w:rsid w:val="006C1659"/>
    <w:rsid w:val="006E0D2A"/>
    <w:rsid w:val="006F56E5"/>
    <w:rsid w:val="006F59E9"/>
    <w:rsid w:val="00714082"/>
    <w:rsid w:val="007223D7"/>
    <w:rsid w:val="00735718"/>
    <w:rsid w:val="00741B1D"/>
    <w:rsid w:val="00746364"/>
    <w:rsid w:val="00754204"/>
    <w:rsid w:val="00754DFD"/>
    <w:rsid w:val="007864BC"/>
    <w:rsid w:val="00796042"/>
    <w:rsid w:val="007B1521"/>
    <w:rsid w:val="007B31DC"/>
    <w:rsid w:val="007B66D2"/>
    <w:rsid w:val="007B7B5A"/>
    <w:rsid w:val="007C6B42"/>
    <w:rsid w:val="00824C12"/>
    <w:rsid w:val="00830722"/>
    <w:rsid w:val="008337BA"/>
    <w:rsid w:val="00837A67"/>
    <w:rsid w:val="008420DE"/>
    <w:rsid w:val="008472A3"/>
    <w:rsid w:val="008538B5"/>
    <w:rsid w:val="00856019"/>
    <w:rsid w:val="008659AA"/>
    <w:rsid w:val="00870C46"/>
    <w:rsid w:val="0088162D"/>
    <w:rsid w:val="00885947"/>
    <w:rsid w:val="008874BA"/>
    <w:rsid w:val="00887916"/>
    <w:rsid w:val="00896781"/>
    <w:rsid w:val="008C5D69"/>
    <w:rsid w:val="008C60B3"/>
    <w:rsid w:val="008D5955"/>
    <w:rsid w:val="008E1CFC"/>
    <w:rsid w:val="008E36E8"/>
    <w:rsid w:val="008E4306"/>
    <w:rsid w:val="008E6126"/>
    <w:rsid w:val="0090490F"/>
    <w:rsid w:val="00904D37"/>
    <w:rsid w:val="0091142B"/>
    <w:rsid w:val="00916720"/>
    <w:rsid w:val="00917C98"/>
    <w:rsid w:val="00934A5B"/>
    <w:rsid w:val="00937AF5"/>
    <w:rsid w:val="00943DD2"/>
    <w:rsid w:val="0095385D"/>
    <w:rsid w:val="00955847"/>
    <w:rsid w:val="00957334"/>
    <w:rsid w:val="00957668"/>
    <w:rsid w:val="00972708"/>
    <w:rsid w:val="00976A25"/>
    <w:rsid w:val="00983B84"/>
    <w:rsid w:val="00993728"/>
    <w:rsid w:val="00997B2E"/>
    <w:rsid w:val="009A409B"/>
    <w:rsid w:val="009A52CB"/>
    <w:rsid w:val="009B37B8"/>
    <w:rsid w:val="009B39A2"/>
    <w:rsid w:val="009C401A"/>
    <w:rsid w:val="009C5124"/>
    <w:rsid w:val="009C7252"/>
    <w:rsid w:val="009C75D1"/>
    <w:rsid w:val="009D1C2C"/>
    <w:rsid w:val="009D4FE4"/>
    <w:rsid w:val="009E3E63"/>
    <w:rsid w:val="00A11610"/>
    <w:rsid w:val="00A14810"/>
    <w:rsid w:val="00A162B0"/>
    <w:rsid w:val="00A1670B"/>
    <w:rsid w:val="00A37A5B"/>
    <w:rsid w:val="00A50D1A"/>
    <w:rsid w:val="00A52968"/>
    <w:rsid w:val="00A55951"/>
    <w:rsid w:val="00A66297"/>
    <w:rsid w:val="00A74E0A"/>
    <w:rsid w:val="00A7515B"/>
    <w:rsid w:val="00A75715"/>
    <w:rsid w:val="00A916B9"/>
    <w:rsid w:val="00AA1207"/>
    <w:rsid w:val="00AA6FDE"/>
    <w:rsid w:val="00AB1602"/>
    <w:rsid w:val="00AB4CED"/>
    <w:rsid w:val="00AB60F1"/>
    <w:rsid w:val="00AC769F"/>
    <w:rsid w:val="00AE18FD"/>
    <w:rsid w:val="00AE2EFB"/>
    <w:rsid w:val="00AE349E"/>
    <w:rsid w:val="00AF741E"/>
    <w:rsid w:val="00B128CB"/>
    <w:rsid w:val="00B3425B"/>
    <w:rsid w:val="00B50AD8"/>
    <w:rsid w:val="00B62143"/>
    <w:rsid w:val="00B631EA"/>
    <w:rsid w:val="00B67256"/>
    <w:rsid w:val="00B6763B"/>
    <w:rsid w:val="00B70029"/>
    <w:rsid w:val="00B70908"/>
    <w:rsid w:val="00B718F4"/>
    <w:rsid w:val="00B80F60"/>
    <w:rsid w:val="00B8133C"/>
    <w:rsid w:val="00B842EB"/>
    <w:rsid w:val="00B864BC"/>
    <w:rsid w:val="00B91F7B"/>
    <w:rsid w:val="00B94CA9"/>
    <w:rsid w:val="00BA147A"/>
    <w:rsid w:val="00BB3F52"/>
    <w:rsid w:val="00BC44E7"/>
    <w:rsid w:val="00BC6715"/>
    <w:rsid w:val="00BE1BEF"/>
    <w:rsid w:val="00BE2A0C"/>
    <w:rsid w:val="00BF1119"/>
    <w:rsid w:val="00BF25A2"/>
    <w:rsid w:val="00BF38A9"/>
    <w:rsid w:val="00BF5226"/>
    <w:rsid w:val="00BF60C6"/>
    <w:rsid w:val="00C1697F"/>
    <w:rsid w:val="00C16C3F"/>
    <w:rsid w:val="00C20F83"/>
    <w:rsid w:val="00C425D6"/>
    <w:rsid w:val="00C479F6"/>
    <w:rsid w:val="00C5592D"/>
    <w:rsid w:val="00C63785"/>
    <w:rsid w:val="00C643CD"/>
    <w:rsid w:val="00C712A4"/>
    <w:rsid w:val="00C77847"/>
    <w:rsid w:val="00C87818"/>
    <w:rsid w:val="00C91912"/>
    <w:rsid w:val="00C92FB3"/>
    <w:rsid w:val="00CA1E64"/>
    <w:rsid w:val="00CA4116"/>
    <w:rsid w:val="00CA56D8"/>
    <w:rsid w:val="00CA7C8B"/>
    <w:rsid w:val="00CB1ED2"/>
    <w:rsid w:val="00CC0D6E"/>
    <w:rsid w:val="00CC5A6F"/>
    <w:rsid w:val="00CD06C6"/>
    <w:rsid w:val="00CD0CAD"/>
    <w:rsid w:val="00CE07EF"/>
    <w:rsid w:val="00CE3A8F"/>
    <w:rsid w:val="00CE4D72"/>
    <w:rsid w:val="00CF162C"/>
    <w:rsid w:val="00CF384B"/>
    <w:rsid w:val="00CF3E33"/>
    <w:rsid w:val="00D104AC"/>
    <w:rsid w:val="00D13FB5"/>
    <w:rsid w:val="00D15308"/>
    <w:rsid w:val="00D205A7"/>
    <w:rsid w:val="00D215FC"/>
    <w:rsid w:val="00D21EE4"/>
    <w:rsid w:val="00D2230A"/>
    <w:rsid w:val="00D27B10"/>
    <w:rsid w:val="00D33199"/>
    <w:rsid w:val="00D33C1A"/>
    <w:rsid w:val="00D35C5E"/>
    <w:rsid w:val="00D4282B"/>
    <w:rsid w:val="00D4339C"/>
    <w:rsid w:val="00D43C51"/>
    <w:rsid w:val="00D60A0A"/>
    <w:rsid w:val="00D64428"/>
    <w:rsid w:val="00D70988"/>
    <w:rsid w:val="00D74F2B"/>
    <w:rsid w:val="00D90DD1"/>
    <w:rsid w:val="00D94867"/>
    <w:rsid w:val="00DA1C6E"/>
    <w:rsid w:val="00DB0622"/>
    <w:rsid w:val="00DB451A"/>
    <w:rsid w:val="00DB5F37"/>
    <w:rsid w:val="00DB7192"/>
    <w:rsid w:val="00DC00B5"/>
    <w:rsid w:val="00DC0162"/>
    <w:rsid w:val="00DC092D"/>
    <w:rsid w:val="00DD1452"/>
    <w:rsid w:val="00DD27D1"/>
    <w:rsid w:val="00E035C4"/>
    <w:rsid w:val="00E04FC1"/>
    <w:rsid w:val="00E05A8C"/>
    <w:rsid w:val="00E10AAE"/>
    <w:rsid w:val="00E20791"/>
    <w:rsid w:val="00E20E76"/>
    <w:rsid w:val="00E27563"/>
    <w:rsid w:val="00E34A07"/>
    <w:rsid w:val="00E373B8"/>
    <w:rsid w:val="00E52B93"/>
    <w:rsid w:val="00E53DC5"/>
    <w:rsid w:val="00E56164"/>
    <w:rsid w:val="00E56217"/>
    <w:rsid w:val="00E62C23"/>
    <w:rsid w:val="00E7182D"/>
    <w:rsid w:val="00E727A7"/>
    <w:rsid w:val="00E73600"/>
    <w:rsid w:val="00E74895"/>
    <w:rsid w:val="00E75D92"/>
    <w:rsid w:val="00E84710"/>
    <w:rsid w:val="00E85351"/>
    <w:rsid w:val="00E87239"/>
    <w:rsid w:val="00EA3E0E"/>
    <w:rsid w:val="00EC05D9"/>
    <w:rsid w:val="00ED2576"/>
    <w:rsid w:val="00ED5151"/>
    <w:rsid w:val="00ED76B6"/>
    <w:rsid w:val="00EE176D"/>
    <w:rsid w:val="00EF17AF"/>
    <w:rsid w:val="00EF20AC"/>
    <w:rsid w:val="00EF41D7"/>
    <w:rsid w:val="00EF4C9D"/>
    <w:rsid w:val="00EF6286"/>
    <w:rsid w:val="00F039C3"/>
    <w:rsid w:val="00F1131D"/>
    <w:rsid w:val="00F23EF2"/>
    <w:rsid w:val="00F25DE1"/>
    <w:rsid w:val="00F36C75"/>
    <w:rsid w:val="00F41471"/>
    <w:rsid w:val="00F4273C"/>
    <w:rsid w:val="00F44BD9"/>
    <w:rsid w:val="00F56C42"/>
    <w:rsid w:val="00F61B62"/>
    <w:rsid w:val="00F7230B"/>
    <w:rsid w:val="00F81862"/>
    <w:rsid w:val="00F82262"/>
    <w:rsid w:val="00F92013"/>
    <w:rsid w:val="00F97BF0"/>
    <w:rsid w:val="00FA633D"/>
    <w:rsid w:val="00FA7B56"/>
    <w:rsid w:val="00FB21F2"/>
    <w:rsid w:val="00FC3F83"/>
    <w:rsid w:val="00FD6119"/>
    <w:rsid w:val="00FE687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rules v:ext="edit">
        <o:r id="V:Rule2" type="connector" idref="#_x0000_s102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GB" w:eastAsia="en-GB"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line="360" w:lineRule="auto"/>
      <w:jc w:val="both"/>
    </w:pPr>
    <w:rPr>
      <w:rFonts w:ascii="Arial" w:hAnsi="Arial" w:cs="Arial"/>
      <w:lang w:val="en-US" w:eastAsia="en-US"/>
    </w:rPr>
  </w:style>
  <w:style w:type="paragraph" w:styleId="berschrift1">
    <w:name w:val="heading 1"/>
    <w:basedOn w:val="Standard"/>
    <w:next w:val="Standard"/>
    <w:link w:val="berschrift1Zchn"/>
    <w:uiPriority w:val="99"/>
    <w:qFormat/>
    <w:pPr>
      <w:keepNext/>
      <w:spacing w:before="120" w:after="60"/>
      <w:outlineLvl w:val="0"/>
    </w:pPr>
    <w:rPr>
      <w:b/>
      <w:bCs/>
      <w:kern w:val="28"/>
      <w:sz w:val="24"/>
      <w:szCs w:val="24"/>
    </w:rPr>
  </w:style>
  <w:style w:type="paragraph" w:styleId="berschrift2">
    <w:name w:val="heading 2"/>
    <w:basedOn w:val="Standard"/>
    <w:next w:val="Standard"/>
    <w:link w:val="berschrift2Zchn"/>
    <w:uiPriority w:val="99"/>
    <w:qFormat/>
    <w:pPr>
      <w:keepNext/>
      <w:spacing w:before="120" w:after="60"/>
      <w:outlineLvl w:val="1"/>
    </w:pPr>
    <w:rPr>
      <w:bCs/>
      <w:u w:val="single"/>
    </w:rPr>
  </w:style>
  <w:style w:type="paragraph" w:styleId="berschrift3">
    <w:name w:val="heading 3"/>
    <w:basedOn w:val="Standard"/>
    <w:next w:val="Standard"/>
    <w:link w:val="berschrift3Zchn"/>
    <w:uiPriority w:val="99"/>
    <w:qFormat/>
    <w:pPr>
      <w:keepNext/>
      <w:numPr>
        <w:ilvl w:val="2"/>
        <w:numId w:val="11"/>
      </w:numPr>
      <w:spacing w:before="120" w:after="60"/>
      <w:outlineLvl w:val="2"/>
    </w:pPr>
  </w:style>
  <w:style w:type="paragraph" w:styleId="berschrift4">
    <w:name w:val="heading 4"/>
    <w:basedOn w:val="Standard"/>
    <w:next w:val="Standard"/>
    <w:link w:val="berschrift4Zchn"/>
    <w:uiPriority w:val="99"/>
    <w:qFormat/>
    <w:pPr>
      <w:keepNext/>
      <w:numPr>
        <w:ilvl w:val="3"/>
        <w:numId w:val="11"/>
      </w:numPr>
      <w:outlineLvl w:val="3"/>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Pr>
      <w:rFonts w:ascii="Arial" w:hAnsi="Arial" w:cs="Arial"/>
      <w:b/>
      <w:bCs/>
      <w:kern w:val="28"/>
      <w:sz w:val="24"/>
      <w:szCs w:val="24"/>
      <w:lang w:val="en-US"/>
    </w:rPr>
  </w:style>
  <w:style w:type="character" w:customStyle="1" w:styleId="berschrift2Zchn">
    <w:name w:val="Überschrift 2 Zchn"/>
    <w:link w:val="berschrift2"/>
    <w:uiPriority w:val="99"/>
    <w:locked/>
    <w:rPr>
      <w:rFonts w:ascii="Arial" w:hAnsi="Arial" w:cs="Arial"/>
      <w:bCs/>
      <w:u w:val="single"/>
      <w:lang w:val="en-US"/>
    </w:rPr>
  </w:style>
  <w:style w:type="character" w:customStyle="1" w:styleId="berschrift3Zchn">
    <w:name w:val="Überschrift 3 Zchn"/>
    <w:link w:val="berschrift3"/>
    <w:uiPriority w:val="99"/>
    <w:rsid w:val="00AD0E38"/>
    <w:rPr>
      <w:rFonts w:ascii="Arial" w:hAnsi="Arial" w:cs="Arial"/>
      <w:sz w:val="20"/>
      <w:szCs w:val="20"/>
      <w:lang w:val="en-US" w:eastAsia="en-US"/>
    </w:rPr>
  </w:style>
  <w:style w:type="character" w:customStyle="1" w:styleId="berschrift4Zchn">
    <w:name w:val="Überschrift 4 Zchn"/>
    <w:link w:val="berschrift4"/>
    <w:uiPriority w:val="99"/>
    <w:rsid w:val="00AD0E38"/>
    <w:rPr>
      <w:rFonts w:ascii="Arial" w:hAnsi="Arial" w:cs="Arial"/>
      <w:sz w:val="20"/>
      <w:szCs w:val="20"/>
      <w:lang w:val="en-US" w:eastAsia="en-US"/>
    </w:rPr>
  </w:style>
  <w:style w:type="paragraph" w:styleId="Listennummer">
    <w:name w:val="List Number"/>
    <w:basedOn w:val="Standard"/>
    <w:uiPriority w:val="99"/>
    <w:pPr>
      <w:numPr>
        <w:numId w:val="24"/>
      </w:numPr>
      <w:tabs>
        <w:tab w:val="clear" w:pos="926"/>
        <w:tab w:val="num" w:pos="284"/>
      </w:tabs>
      <w:spacing w:before="80" w:after="80"/>
      <w:ind w:left="284" w:hanging="284"/>
    </w:pPr>
    <w:rPr>
      <w:rFonts w:cs="Times New Roman"/>
      <w:szCs w:val="24"/>
    </w:rPr>
  </w:style>
  <w:style w:type="paragraph" w:styleId="Listennummer2">
    <w:name w:val="List Number 2"/>
    <w:basedOn w:val="Standard"/>
    <w:uiPriority w:val="99"/>
    <w:pPr>
      <w:numPr>
        <w:numId w:val="25"/>
      </w:numPr>
      <w:tabs>
        <w:tab w:val="clear" w:pos="1209"/>
        <w:tab w:val="num" w:pos="284"/>
      </w:tabs>
      <w:ind w:left="284" w:hanging="284"/>
    </w:pPr>
    <w:rPr>
      <w:rFonts w:cs="Times New Roman"/>
      <w:szCs w:val="24"/>
    </w:rPr>
  </w:style>
  <w:style w:type="table" w:styleId="Tabellenraster">
    <w:name w:val="Table Grid"/>
    <w:basedOn w:val="NormaleTabelle"/>
    <w:uiPriority w:val="9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treff">
    <w:name w:val="Betreff"/>
    <w:basedOn w:val="Standard"/>
    <w:uiPriority w:val="99"/>
    <w:rPr>
      <w:b/>
      <w:bCs/>
    </w:rPr>
  </w:style>
  <w:style w:type="paragraph" w:styleId="Kopfzeile">
    <w:name w:val="header"/>
    <w:basedOn w:val="Standard"/>
    <w:link w:val="KopfzeileZchn"/>
    <w:uiPriority w:val="99"/>
    <w:pPr>
      <w:tabs>
        <w:tab w:val="center" w:pos="4536"/>
        <w:tab w:val="right" w:pos="9072"/>
      </w:tabs>
    </w:pPr>
  </w:style>
  <w:style w:type="character" w:customStyle="1" w:styleId="KopfzeileZchn">
    <w:name w:val="Kopfzeile Zchn"/>
    <w:link w:val="Kopfzeile"/>
    <w:uiPriority w:val="99"/>
    <w:semiHidden/>
    <w:rsid w:val="00AD0E38"/>
    <w:rPr>
      <w:rFonts w:ascii="Arial" w:hAnsi="Arial" w:cs="Arial"/>
      <w:sz w:val="20"/>
      <w:szCs w:val="20"/>
      <w:lang w:val="en-US" w:eastAsia="en-US"/>
    </w:rPr>
  </w:style>
  <w:style w:type="paragraph" w:styleId="Fuzeile">
    <w:name w:val="footer"/>
    <w:basedOn w:val="Standard"/>
    <w:link w:val="FuzeileZchn"/>
    <w:uiPriority w:val="99"/>
    <w:rsid w:val="00261B80"/>
    <w:pPr>
      <w:tabs>
        <w:tab w:val="center" w:pos="4536"/>
        <w:tab w:val="right" w:pos="9072"/>
      </w:tabs>
    </w:pPr>
  </w:style>
  <w:style w:type="character" w:customStyle="1" w:styleId="FuzeileZchn">
    <w:name w:val="Fußzeile Zchn"/>
    <w:link w:val="Fuzeile"/>
    <w:uiPriority w:val="99"/>
    <w:semiHidden/>
    <w:rsid w:val="00AD0E38"/>
    <w:rPr>
      <w:rFonts w:ascii="Arial" w:hAnsi="Arial" w:cs="Arial"/>
      <w:sz w:val="20"/>
      <w:szCs w:val="20"/>
      <w:lang w:val="en-US" w:eastAsia="en-US"/>
    </w:rPr>
  </w:style>
  <w:style w:type="character" w:styleId="Hyperlink">
    <w:name w:val="Hyperlink"/>
    <w:uiPriority w:val="99"/>
    <w:rPr>
      <w:rFonts w:ascii="Arial" w:hAnsi="Arial" w:cs="Times New Roman"/>
      <w:color w:val="0000FF"/>
      <w:sz w:val="20"/>
      <w:u w:val="single"/>
      <w:lang w:val="en-US"/>
    </w:rPr>
  </w:style>
  <w:style w:type="paragraph" w:customStyle="1" w:styleId="zAbsender">
    <w:name w:val="zAbsender"/>
    <w:uiPriority w:val="99"/>
    <w:rPr>
      <w:rFonts w:ascii="Arial" w:hAnsi="Arial" w:cs="Arial"/>
      <w:spacing w:val="-6"/>
      <w:sz w:val="12"/>
      <w:szCs w:val="12"/>
      <w:lang w:val="en-US" w:eastAsia="en-US"/>
    </w:rPr>
  </w:style>
  <w:style w:type="paragraph" w:customStyle="1" w:styleId="zLeittext">
    <w:name w:val="zLeittext"/>
    <w:uiPriority w:val="99"/>
    <w:rPr>
      <w:rFonts w:ascii="Arial" w:hAnsi="Arial" w:cs="Arial"/>
      <w:spacing w:val="-4"/>
      <w:sz w:val="14"/>
      <w:szCs w:val="14"/>
      <w:lang w:val="en-US" w:eastAsia="en-US"/>
    </w:rPr>
  </w:style>
  <w:style w:type="paragraph" w:customStyle="1" w:styleId="zPersName">
    <w:name w:val="zPersName"/>
    <w:basedOn w:val="Standard"/>
    <w:uiPriority w:val="99"/>
    <w:pPr>
      <w:spacing w:after="120" w:line="240" w:lineRule="auto"/>
    </w:pPr>
    <w:rPr>
      <w:bCs/>
    </w:rPr>
  </w:style>
  <w:style w:type="paragraph" w:customStyle="1" w:styleId="zFunktion">
    <w:name w:val="zFunktion"/>
    <w:basedOn w:val="Standard"/>
    <w:uiPriority w:val="99"/>
    <w:pPr>
      <w:spacing w:line="220" w:lineRule="exact"/>
    </w:pPr>
    <w:rPr>
      <w:sz w:val="14"/>
      <w:szCs w:val="14"/>
    </w:rPr>
  </w:style>
  <w:style w:type="paragraph" w:customStyle="1" w:styleId="zUnternehmensz">
    <w:name w:val="zUnternehmensz"/>
    <w:basedOn w:val="Standard"/>
    <w:uiPriority w:val="99"/>
    <w:pPr>
      <w:spacing w:line="220" w:lineRule="exact"/>
    </w:pPr>
    <w:rPr>
      <w:sz w:val="14"/>
      <w:szCs w:val="14"/>
    </w:rPr>
  </w:style>
  <w:style w:type="paragraph" w:styleId="Datum">
    <w:name w:val="Date"/>
    <w:basedOn w:val="Standard"/>
    <w:next w:val="Standard"/>
    <w:link w:val="DatumZchn"/>
    <w:uiPriority w:val="99"/>
    <w:pPr>
      <w:spacing w:line="240" w:lineRule="auto"/>
      <w:jc w:val="right"/>
    </w:pPr>
  </w:style>
  <w:style w:type="character" w:customStyle="1" w:styleId="DatumZchn">
    <w:name w:val="Datum Zchn"/>
    <w:link w:val="Datum"/>
    <w:uiPriority w:val="99"/>
    <w:semiHidden/>
    <w:rsid w:val="00AD0E38"/>
    <w:rPr>
      <w:rFonts w:ascii="Arial" w:hAnsi="Arial" w:cs="Arial"/>
      <w:sz w:val="20"/>
      <w:szCs w:val="20"/>
      <w:lang w:val="en-US" w:eastAsia="en-US"/>
    </w:rPr>
  </w:style>
  <w:style w:type="paragraph" w:styleId="Anrede">
    <w:name w:val="Salutation"/>
    <w:basedOn w:val="Standard"/>
    <w:next w:val="Standard"/>
    <w:link w:val="AnredeZchn"/>
    <w:uiPriority w:val="99"/>
    <w:pPr>
      <w:spacing w:before="440" w:after="200"/>
    </w:pPr>
  </w:style>
  <w:style w:type="character" w:customStyle="1" w:styleId="AnredeZchn">
    <w:name w:val="Anrede Zchn"/>
    <w:link w:val="Anrede"/>
    <w:uiPriority w:val="99"/>
    <w:locked/>
    <w:rPr>
      <w:rFonts w:ascii="Arial" w:hAnsi="Arial" w:cs="Arial"/>
      <w:lang w:val="en-US" w:eastAsia="en-US"/>
    </w:rPr>
  </w:style>
  <w:style w:type="paragraph" w:customStyle="1" w:styleId="zBezugszeichen">
    <w:name w:val="zBezugszeichen"/>
    <w:basedOn w:val="Standard"/>
    <w:uiPriority w:val="99"/>
    <w:pPr>
      <w:spacing w:before="40"/>
    </w:pPr>
    <w:rPr>
      <w:spacing w:val="-8"/>
    </w:rPr>
  </w:style>
  <w:style w:type="character" w:styleId="Seitenzahl">
    <w:name w:val="page number"/>
    <w:uiPriority w:val="99"/>
    <w:rPr>
      <w:rFonts w:ascii="Arial" w:hAnsi="Arial" w:cs="Times New Roman"/>
      <w:sz w:val="20"/>
      <w:lang w:val="en-US"/>
    </w:rPr>
  </w:style>
  <w:style w:type="paragraph" w:customStyle="1" w:styleId="zAnschrift">
    <w:name w:val="zAnschrift"/>
    <w:basedOn w:val="Standard"/>
    <w:uiPriority w:val="99"/>
    <w:pPr>
      <w:spacing w:line="240" w:lineRule="auto"/>
    </w:pPr>
  </w:style>
  <w:style w:type="paragraph" w:customStyle="1" w:styleId="zAdresseli">
    <w:name w:val="zAdresseli"/>
    <w:uiPriority w:val="99"/>
    <w:pPr>
      <w:framePr w:w="2098" w:h="8536" w:hRule="exact" w:wrap="around" w:vAnchor="page" w:hAnchor="page" w:x="9391" w:y="7516"/>
      <w:spacing w:line="220" w:lineRule="exact"/>
    </w:pPr>
    <w:rPr>
      <w:rFonts w:ascii="Arial" w:hAnsi="Arial" w:cs="Arial"/>
      <w:spacing w:val="-6"/>
      <w:sz w:val="14"/>
      <w:szCs w:val="14"/>
      <w:lang w:val="en-US" w:eastAsia="en-US"/>
    </w:rPr>
  </w:style>
  <w:style w:type="paragraph" w:customStyle="1" w:styleId="zBlockre">
    <w:name w:val="zBlockre"/>
    <w:basedOn w:val="Standard"/>
    <w:uiPriority w:val="99"/>
    <w:pPr>
      <w:framePr w:w="2098" w:h="8533" w:hRule="exact" w:wrap="around" w:vAnchor="page" w:hAnchor="page" w:x="9073" w:y="7593"/>
    </w:pPr>
    <w:rPr>
      <w:spacing w:val="-6"/>
      <w:sz w:val="14"/>
      <w:szCs w:val="14"/>
    </w:rPr>
  </w:style>
  <w:style w:type="paragraph" w:customStyle="1" w:styleId="zFirma">
    <w:name w:val="zFirma"/>
    <w:basedOn w:val="zAdresseli"/>
    <w:uiPriority w:val="99"/>
    <w:pPr>
      <w:framePr w:w="2281" w:h="8581" w:hRule="exact" w:wrap="around" w:x="9076" w:y="7636"/>
    </w:pPr>
    <w:rPr>
      <w:b/>
    </w:rPr>
  </w:style>
  <w:style w:type="paragraph" w:styleId="Aufzhlungszeichen">
    <w:name w:val="List Bullet"/>
    <w:basedOn w:val="Standard"/>
    <w:uiPriority w:val="99"/>
    <w:pPr>
      <w:numPr>
        <w:numId w:val="18"/>
      </w:numPr>
      <w:tabs>
        <w:tab w:val="clear" w:pos="397"/>
        <w:tab w:val="num" w:pos="284"/>
      </w:tabs>
      <w:ind w:left="284" w:hanging="284"/>
    </w:pPr>
  </w:style>
  <w:style w:type="paragraph" w:styleId="Aufzhlungszeichen2">
    <w:name w:val="List Bullet 2"/>
    <w:basedOn w:val="Standard"/>
    <w:uiPriority w:val="99"/>
    <w:pPr>
      <w:numPr>
        <w:numId w:val="19"/>
      </w:numPr>
      <w:tabs>
        <w:tab w:val="clear" w:pos="397"/>
        <w:tab w:val="num" w:pos="567"/>
      </w:tabs>
      <w:ind w:left="567" w:hanging="284"/>
    </w:pPr>
  </w:style>
  <w:style w:type="paragraph" w:customStyle="1" w:styleId="Nummer">
    <w:name w:val="Nummer"/>
    <w:basedOn w:val="Standard"/>
    <w:uiPriority w:val="99"/>
  </w:style>
  <w:style w:type="paragraph" w:customStyle="1" w:styleId="Thema">
    <w:name w:val="Thema"/>
    <w:basedOn w:val="Standard"/>
    <w:uiPriority w:val="99"/>
    <w:rPr>
      <w:b/>
      <w:sz w:val="24"/>
      <w:szCs w:val="24"/>
    </w:rPr>
  </w:style>
  <w:style w:type="paragraph" w:styleId="Textkrper">
    <w:name w:val="Body Text"/>
    <w:basedOn w:val="Standard"/>
    <w:link w:val="TextkrperZchn"/>
    <w:uiPriority w:val="99"/>
    <w:rPr>
      <w:rFonts w:ascii="Garamond" w:hAnsi="Garamond" w:cs="Times New Roman"/>
      <w:sz w:val="24"/>
    </w:rPr>
  </w:style>
  <w:style w:type="character" w:customStyle="1" w:styleId="TextkrperZchn">
    <w:name w:val="Textkörper Zchn"/>
    <w:link w:val="Textkrper"/>
    <w:uiPriority w:val="99"/>
    <w:locked/>
    <w:rsid w:val="00334176"/>
    <w:rPr>
      <w:rFonts w:ascii="Garamond" w:hAnsi="Garamond" w:cs="Times New Roman"/>
      <w:sz w:val="24"/>
      <w:lang w:eastAsia="en-US"/>
    </w:rPr>
  </w:style>
  <w:style w:type="paragraph" w:styleId="Textkrper2">
    <w:name w:val="Body Text 2"/>
    <w:basedOn w:val="Standard"/>
    <w:link w:val="Textkrper2Zchn"/>
    <w:uiPriority w:val="99"/>
    <w:rPr>
      <w:rFonts w:cs="Times New Roman"/>
      <w:b/>
      <w:bCs/>
      <w:sz w:val="24"/>
    </w:rPr>
  </w:style>
  <w:style w:type="character" w:customStyle="1" w:styleId="Textkrper2Zchn">
    <w:name w:val="Textkörper 2 Zchn"/>
    <w:link w:val="Textkrper2"/>
    <w:uiPriority w:val="99"/>
    <w:semiHidden/>
    <w:rsid w:val="00AD0E38"/>
    <w:rPr>
      <w:rFonts w:ascii="Arial" w:hAnsi="Arial" w:cs="Arial"/>
      <w:sz w:val="20"/>
      <w:szCs w:val="20"/>
      <w:lang w:val="en-US" w:eastAsia="en-US"/>
    </w:rPr>
  </w:style>
  <w:style w:type="paragraph" w:customStyle="1" w:styleId="Ansprechpartner">
    <w:name w:val="Ansprechpartner"/>
    <w:basedOn w:val="Textkrper"/>
    <w:uiPriority w:val="99"/>
    <w:pPr>
      <w:tabs>
        <w:tab w:val="left" w:pos="3119"/>
      </w:tabs>
      <w:ind w:left="1134"/>
    </w:pPr>
    <w:rPr>
      <w:rFonts w:ascii="Arial" w:hAnsi="Arial" w:cs="Arial"/>
      <w:sz w:val="16"/>
    </w:rPr>
  </w:style>
  <w:style w:type="paragraph" w:customStyle="1" w:styleId="FormTitel">
    <w:name w:val="FormTitel"/>
    <w:basedOn w:val="Thema"/>
    <w:uiPriority w:val="99"/>
    <w:rPr>
      <w:b w:val="0"/>
      <w:noProof/>
    </w:rPr>
  </w:style>
  <w:style w:type="paragraph" w:styleId="Dokumentstruktur">
    <w:name w:val="Document Map"/>
    <w:basedOn w:val="Standard"/>
    <w:link w:val="DokumentstrukturZchn"/>
    <w:uiPriority w:val="99"/>
    <w:semiHidden/>
    <w:pPr>
      <w:shd w:val="clear" w:color="auto" w:fill="000080"/>
    </w:pPr>
    <w:rPr>
      <w:rFonts w:ascii="Tahoma" w:hAnsi="Tahoma" w:cs="Tahoma"/>
    </w:rPr>
  </w:style>
  <w:style w:type="character" w:customStyle="1" w:styleId="DokumentstrukturZchn">
    <w:name w:val="Dokumentstruktur Zchn"/>
    <w:link w:val="Dokumentstruktur"/>
    <w:uiPriority w:val="99"/>
    <w:semiHidden/>
    <w:rsid w:val="00AD0E38"/>
    <w:rPr>
      <w:rFonts w:cs="Arial"/>
      <w:sz w:val="0"/>
      <w:szCs w:val="0"/>
      <w:lang w:val="en-US" w:eastAsia="en-US"/>
    </w:rPr>
  </w:style>
  <w:style w:type="character" w:styleId="Fett">
    <w:name w:val="Strong"/>
    <w:uiPriority w:val="99"/>
    <w:qFormat/>
    <w:rPr>
      <w:rFonts w:cs="Times New Roman"/>
      <w:b/>
      <w:bCs/>
      <w:lang w:val="en-US"/>
    </w:rPr>
  </w:style>
  <w:style w:type="character" w:styleId="BesuchterHyperlink">
    <w:name w:val="FollowedHyperlink"/>
    <w:uiPriority w:val="99"/>
    <w:rPr>
      <w:rFonts w:cs="Times New Roman"/>
      <w:color w:val="800080"/>
      <w:u w:val="single"/>
      <w:lang w:val="en-US"/>
    </w:rPr>
  </w:style>
  <w:style w:type="paragraph" w:styleId="Sprechblasentext">
    <w:name w:val="Balloon Text"/>
    <w:basedOn w:val="Standard"/>
    <w:link w:val="SprechblasentextZchn"/>
    <w:uiPriority w:val="99"/>
    <w:pPr>
      <w:spacing w:line="240" w:lineRule="auto"/>
    </w:pPr>
    <w:rPr>
      <w:rFonts w:ascii="Tahoma" w:hAnsi="Tahoma" w:cs="Tahoma"/>
      <w:sz w:val="16"/>
      <w:szCs w:val="16"/>
    </w:rPr>
  </w:style>
  <w:style w:type="character" w:customStyle="1" w:styleId="SprechblasentextZchn">
    <w:name w:val="Sprechblasentext Zchn"/>
    <w:link w:val="Sprechblasentext"/>
    <w:uiPriority w:val="99"/>
    <w:locked/>
    <w:rPr>
      <w:rFonts w:ascii="Tahoma" w:hAnsi="Tahoma" w:cs="Tahoma"/>
      <w:sz w:val="16"/>
      <w:szCs w:val="16"/>
      <w:lang w:val="en-US"/>
    </w:rPr>
  </w:style>
  <w:style w:type="paragraph" w:styleId="StandardWeb">
    <w:name w:val="Normal (Web)"/>
    <w:basedOn w:val="Standard"/>
    <w:uiPriority w:val="99"/>
    <w:rsid w:val="00DC0162"/>
    <w:pPr>
      <w:spacing w:before="100" w:beforeAutospacing="1" w:after="100" w:afterAutospacing="1" w:line="240" w:lineRule="auto"/>
      <w:jc w:val="left"/>
    </w:pPr>
    <w:rPr>
      <w:rFonts w:ascii="Times New Roman" w:hAnsi="Times New Roman" w:cs="Times New Roman"/>
      <w:sz w:val="24"/>
      <w:szCs w:val="24"/>
    </w:rPr>
  </w:style>
  <w:style w:type="paragraph" w:styleId="Listenabsatz">
    <w:name w:val="List Paragraph"/>
    <w:basedOn w:val="Standard"/>
    <w:uiPriority w:val="99"/>
    <w:qFormat/>
    <w:rsid w:val="00380A85"/>
    <w:pPr>
      <w:ind w:left="720"/>
      <w:contextualSpacing/>
    </w:pPr>
  </w:style>
  <w:style w:type="character" w:customStyle="1" w:styleId="tw4winMark">
    <w:name w:val="tw4winMark"/>
    <w:uiPriority w:val="99"/>
    <w:rsid w:val="00D94867"/>
    <w:rPr>
      <w:rFonts w:ascii="Courier New" w:hAnsi="Courier New"/>
      <w:vanish/>
      <w:color w:val="800080"/>
      <w:vertAlign w:val="subscript"/>
    </w:rPr>
  </w:style>
  <w:style w:type="character" w:customStyle="1" w:styleId="tw4winInternal">
    <w:name w:val="tw4winInternal"/>
    <w:uiPriority w:val="99"/>
    <w:rsid w:val="003F7911"/>
    <w:rPr>
      <w:rFonts w:ascii="Courier New" w:hAnsi="Courier New"/>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026562">
      <w:bodyDiv w:val="1"/>
      <w:marLeft w:val="0"/>
      <w:marRight w:val="0"/>
      <w:marTop w:val="0"/>
      <w:marBottom w:val="0"/>
      <w:divBdr>
        <w:top w:val="none" w:sz="0" w:space="0" w:color="auto"/>
        <w:left w:val="none" w:sz="0" w:space="0" w:color="auto"/>
        <w:bottom w:val="none" w:sz="0" w:space="0" w:color="auto"/>
        <w:right w:val="none" w:sz="0" w:space="0" w:color="auto"/>
      </w:divBdr>
    </w:div>
    <w:div w:id="141285243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twitter.com/schaefflerpress"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1500B7-8781-4881-B125-935835D77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1013</Words>
  <Characters>6388</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2016-10-05T06:38:00Z</dcterms:created>
  <dcterms:modified xsi:type="dcterms:W3CDTF">2016-10-07T07:01:00Z</dcterms:modified>
</cp:coreProperties>
</file>